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E4DF4" w14:paraId="2F0C36B8" w14:textId="77777777">
        <w:tblPrEx>
          <w:tblCellMar>
            <w:top w:w="0" w:type="dxa"/>
            <w:bottom w:w="0" w:type="dxa"/>
          </w:tblCellMar>
        </w:tblPrEx>
        <w:tc>
          <w:tcPr>
            <w:tcW w:w="9360" w:type="dxa"/>
            <w:tcBorders>
              <w:top w:val="single" w:sz="2" w:space="0" w:color="1E1E1E"/>
              <w:left w:val="single" w:sz="2" w:space="0" w:color="1E1E1E"/>
              <w:bottom w:val="single" w:sz="2" w:space="0" w:color="1E1E1E"/>
              <w:right w:val="single" w:sz="2" w:space="0" w:color="1E1E1E"/>
            </w:tcBorders>
            <w:shd w:val="clear" w:color="auto" w:fill="1E1E1E"/>
            <w:tcMar>
              <w:top w:w="260" w:type="dxa"/>
              <w:left w:w="260" w:type="dxa"/>
              <w:bottom w:w="240" w:type="dxa"/>
              <w:right w:w="260" w:type="dxa"/>
            </w:tcMar>
          </w:tcPr>
          <w:p w14:paraId="21FADD14" w14:textId="2DF72FF2" w:rsidR="001E4DF4" w:rsidRPr="009001C6" w:rsidRDefault="00413E94">
            <w:pPr>
              <w:spacing w:after="40"/>
              <w:rPr>
                <w:b/>
                <w:bCs/>
                <w:color w:val="D4A84B"/>
                <w:sz w:val="26"/>
                <w:szCs w:val="26"/>
              </w:rPr>
            </w:pPr>
            <w:r>
              <w:rPr>
                <w:b/>
                <w:bCs/>
                <w:color w:val="D4A84B"/>
                <w:sz w:val="26"/>
                <w:szCs w:val="26"/>
              </w:rPr>
              <w:t>N</w:t>
            </w:r>
            <w:r>
              <w:rPr>
                <w:b/>
                <w:bCs/>
                <w:color w:val="D4A84B"/>
                <w:sz w:val="26"/>
                <w:szCs w:val="26"/>
              </w:rPr>
              <w:t>U</w:t>
            </w:r>
            <w:r>
              <w:rPr>
                <w:b/>
                <w:bCs/>
                <w:color w:val="D4A84B"/>
                <w:sz w:val="26"/>
                <w:szCs w:val="26"/>
              </w:rPr>
              <w:t>RO.is</w:t>
            </w:r>
            <w:r>
              <w:rPr>
                <w:color w:val="C9C4B6"/>
                <w:sz w:val="18"/>
                <w:szCs w:val="18"/>
              </w:rPr>
              <w:t xml:space="preserve">      Executive Policy</w:t>
            </w:r>
          </w:p>
          <w:p w14:paraId="2FFFFBE4" w14:textId="77777777" w:rsidR="001E4DF4" w:rsidRDefault="00413E94">
            <w:pPr>
              <w:spacing w:before="40" w:after="60"/>
            </w:pPr>
            <w:r>
              <w:rPr>
                <w:b/>
                <w:bCs/>
                <w:color w:val="F5F4ED"/>
                <w:sz w:val="34"/>
                <w:szCs w:val="34"/>
              </w:rPr>
              <w:t>Artificial Intelligence Compliance &amp; Governance Policy</w:t>
            </w:r>
          </w:p>
          <w:p w14:paraId="0A6F3971" w14:textId="77777777" w:rsidR="001E4DF4" w:rsidRDefault="00413E94">
            <w:r>
              <w:rPr>
                <w:color w:val="D7D2C4"/>
                <w:sz w:val="19"/>
                <w:szCs w:val="19"/>
              </w:rPr>
              <w:t>The responsible development, deployment, and use of AI across all NURO operations, products, and client engagements. Human Intelligence leads. AI amplifies.</w:t>
            </w:r>
          </w:p>
          <w:p w14:paraId="67FB4ED5" w14:textId="75A7DC1F" w:rsidR="001E4DF4" w:rsidRDefault="00413E94">
            <w:pPr>
              <w:pBdr>
                <w:top w:val="single" w:sz="8" w:space="8" w:color="D4A84B"/>
              </w:pBdr>
              <w:spacing w:before="140"/>
            </w:pPr>
            <w:r>
              <w:rPr>
                <w:b/>
                <w:bCs/>
                <w:color w:val="D4A84B"/>
                <w:sz w:val="22"/>
                <w:szCs w:val="22"/>
              </w:rPr>
              <w:t>HI → AI = I</w:t>
            </w:r>
            <w:r>
              <w:rPr>
                <w:b/>
                <w:bCs/>
                <w:color w:val="D4A84B"/>
                <w:sz w:val="14"/>
                <w:szCs w:val="14"/>
                <w:vertAlign w:val="superscript"/>
              </w:rPr>
              <w:t>E</w:t>
            </w:r>
            <w:r>
              <w:rPr>
                <w:color w:val="F5F4ED"/>
                <w:sz w:val="19"/>
                <w:szCs w:val="19"/>
              </w:rPr>
              <w:t xml:space="preserve">      ·      Humans are the Source. Machines are the Force.</w:t>
            </w:r>
          </w:p>
        </w:tc>
      </w:tr>
    </w:tbl>
    <w:p w14:paraId="1CFA5D36" w14:textId="4BD69298" w:rsidR="005E7114" w:rsidRDefault="005E7114">
      <w:pPr>
        <w:pStyle w:val="TOC1"/>
        <w:tabs>
          <w:tab w:val="right" w:leader="dot" w:pos="9350"/>
        </w:tabs>
      </w:pPr>
      <w:r>
        <w:br/>
      </w:r>
    </w:p>
    <w:p w14:paraId="250C45E8" w14:textId="77777777" w:rsidR="005E7114" w:rsidRDefault="005E7114" w:rsidP="005E7114"/>
    <w:p w14:paraId="2A8821EB" w14:textId="77777777" w:rsidR="005E7114" w:rsidRPr="005E7114" w:rsidRDefault="005E7114" w:rsidP="005E7114"/>
    <w:sdt>
      <w:sdtPr>
        <w:alias w:val="Contents"/>
        <w:id w:val="218563258"/>
      </w:sdtPr>
      <w:sdtEndPr/>
      <w:sdtContent>
        <w:p w14:paraId="1DD6DF41" w14:textId="2512A683" w:rsidR="007A68A9" w:rsidRDefault="00413E94">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r>
            <w:fldChar w:fldCharType="begin"/>
          </w:r>
          <w:r>
            <w:instrText>TOC \h \o "1-1"</w:instrText>
          </w:r>
          <w:r>
            <w:fldChar w:fldCharType="separate"/>
          </w:r>
          <w:hyperlink w:anchor="_Toc232761856" w:history="1">
            <w:r w:rsidR="007A68A9" w:rsidRPr="0054562B">
              <w:rPr>
                <w:rStyle w:val="Hyperlink"/>
                <w:noProof/>
              </w:rPr>
              <w:t>I.  Purpose &amp; Governing Doctrine</w:t>
            </w:r>
            <w:r w:rsidR="007A68A9">
              <w:rPr>
                <w:noProof/>
              </w:rPr>
              <w:tab/>
            </w:r>
            <w:r w:rsidR="007A68A9">
              <w:rPr>
                <w:noProof/>
              </w:rPr>
              <w:fldChar w:fldCharType="begin"/>
            </w:r>
            <w:r w:rsidR="007A68A9">
              <w:rPr>
                <w:noProof/>
              </w:rPr>
              <w:instrText xml:space="preserve"> PAGEREF _Toc232761856 \h </w:instrText>
            </w:r>
            <w:r w:rsidR="007A68A9">
              <w:rPr>
                <w:noProof/>
              </w:rPr>
            </w:r>
            <w:r w:rsidR="007A68A9">
              <w:rPr>
                <w:noProof/>
              </w:rPr>
              <w:fldChar w:fldCharType="separate"/>
            </w:r>
            <w:r w:rsidR="007A68A9">
              <w:rPr>
                <w:noProof/>
              </w:rPr>
              <w:t>2</w:t>
            </w:r>
            <w:r w:rsidR="007A68A9">
              <w:rPr>
                <w:noProof/>
              </w:rPr>
              <w:fldChar w:fldCharType="end"/>
            </w:r>
          </w:hyperlink>
        </w:p>
        <w:p w14:paraId="573F8087" w14:textId="018C7C14"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57" w:history="1">
            <w:r w:rsidRPr="0054562B">
              <w:rPr>
                <w:rStyle w:val="Hyperlink"/>
                <w:noProof/>
              </w:rPr>
              <w:t>II.  Scope &amp; Definitions</w:t>
            </w:r>
            <w:r>
              <w:rPr>
                <w:noProof/>
              </w:rPr>
              <w:tab/>
            </w:r>
            <w:r>
              <w:rPr>
                <w:noProof/>
              </w:rPr>
              <w:fldChar w:fldCharType="begin"/>
            </w:r>
            <w:r>
              <w:rPr>
                <w:noProof/>
              </w:rPr>
              <w:instrText xml:space="preserve"> PAGEREF _Toc232761857 \h </w:instrText>
            </w:r>
            <w:r>
              <w:rPr>
                <w:noProof/>
              </w:rPr>
            </w:r>
            <w:r>
              <w:rPr>
                <w:noProof/>
              </w:rPr>
              <w:fldChar w:fldCharType="separate"/>
            </w:r>
            <w:r>
              <w:rPr>
                <w:noProof/>
              </w:rPr>
              <w:t>2</w:t>
            </w:r>
            <w:r>
              <w:rPr>
                <w:noProof/>
              </w:rPr>
              <w:fldChar w:fldCharType="end"/>
            </w:r>
          </w:hyperlink>
        </w:p>
        <w:p w14:paraId="3A32928F" w14:textId="16DFF3C0"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58" w:history="1">
            <w:r w:rsidRPr="0054562B">
              <w:rPr>
                <w:rStyle w:val="Hyperlink"/>
                <w:noProof/>
              </w:rPr>
              <w:t>III.  Governing Principles</w:t>
            </w:r>
            <w:r>
              <w:rPr>
                <w:rStyle w:val="Hyperlink"/>
                <w:noProof/>
              </w:rPr>
              <w:t xml:space="preserve"> - </w:t>
            </w:r>
            <w:r w:rsidRPr="0054562B">
              <w:rPr>
                <w:rStyle w:val="Hyperlink"/>
                <w:noProof/>
              </w:rPr>
              <w:t>The HI Framework</w:t>
            </w:r>
            <w:r>
              <w:rPr>
                <w:noProof/>
              </w:rPr>
              <w:tab/>
            </w:r>
            <w:r>
              <w:rPr>
                <w:noProof/>
              </w:rPr>
              <w:fldChar w:fldCharType="begin"/>
            </w:r>
            <w:r>
              <w:rPr>
                <w:noProof/>
              </w:rPr>
              <w:instrText xml:space="preserve"> PAGEREF _Toc232761858 \h </w:instrText>
            </w:r>
            <w:r>
              <w:rPr>
                <w:noProof/>
              </w:rPr>
            </w:r>
            <w:r>
              <w:rPr>
                <w:noProof/>
              </w:rPr>
              <w:fldChar w:fldCharType="separate"/>
            </w:r>
            <w:r>
              <w:rPr>
                <w:noProof/>
              </w:rPr>
              <w:t>4</w:t>
            </w:r>
            <w:r>
              <w:rPr>
                <w:noProof/>
              </w:rPr>
              <w:fldChar w:fldCharType="end"/>
            </w:r>
          </w:hyperlink>
        </w:p>
        <w:p w14:paraId="412D57C8" w14:textId="08195FDC"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59" w:history="1">
            <w:r w:rsidRPr="0054562B">
              <w:rPr>
                <w:rStyle w:val="Hyperlink"/>
                <w:noProof/>
              </w:rPr>
              <w:t>IV.  Regulatory &amp; Standards Alignment</w:t>
            </w:r>
            <w:r>
              <w:rPr>
                <w:noProof/>
              </w:rPr>
              <w:tab/>
            </w:r>
            <w:r>
              <w:rPr>
                <w:noProof/>
              </w:rPr>
              <w:fldChar w:fldCharType="begin"/>
            </w:r>
            <w:r>
              <w:rPr>
                <w:noProof/>
              </w:rPr>
              <w:instrText xml:space="preserve"> PAGEREF _Toc232761859 \h </w:instrText>
            </w:r>
            <w:r>
              <w:rPr>
                <w:noProof/>
              </w:rPr>
            </w:r>
            <w:r>
              <w:rPr>
                <w:noProof/>
              </w:rPr>
              <w:fldChar w:fldCharType="separate"/>
            </w:r>
            <w:r>
              <w:rPr>
                <w:noProof/>
              </w:rPr>
              <w:t>4</w:t>
            </w:r>
            <w:r>
              <w:rPr>
                <w:noProof/>
              </w:rPr>
              <w:fldChar w:fldCharType="end"/>
            </w:r>
          </w:hyperlink>
        </w:p>
        <w:p w14:paraId="038D79B6" w14:textId="3DF1195C"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60" w:history="1">
            <w:r w:rsidRPr="0054562B">
              <w:rPr>
                <w:rStyle w:val="Hyperlink"/>
                <w:noProof/>
              </w:rPr>
              <w:t>V.  AI Tool Governance</w:t>
            </w:r>
            <w:r>
              <w:rPr>
                <w:rStyle w:val="Hyperlink"/>
                <w:noProof/>
              </w:rPr>
              <w:t xml:space="preserve"> - </w:t>
            </w:r>
            <w:r w:rsidRPr="0054562B">
              <w:rPr>
                <w:rStyle w:val="Hyperlink"/>
                <w:noProof/>
              </w:rPr>
              <w:t>Internal Use</w:t>
            </w:r>
            <w:r>
              <w:rPr>
                <w:noProof/>
              </w:rPr>
              <w:tab/>
            </w:r>
            <w:r>
              <w:rPr>
                <w:noProof/>
              </w:rPr>
              <w:fldChar w:fldCharType="begin"/>
            </w:r>
            <w:r>
              <w:rPr>
                <w:noProof/>
              </w:rPr>
              <w:instrText xml:space="preserve"> PAGEREF _Toc232761860 \h </w:instrText>
            </w:r>
            <w:r>
              <w:rPr>
                <w:noProof/>
              </w:rPr>
            </w:r>
            <w:r>
              <w:rPr>
                <w:noProof/>
              </w:rPr>
              <w:fldChar w:fldCharType="separate"/>
            </w:r>
            <w:r>
              <w:rPr>
                <w:noProof/>
              </w:rPr>
              <w:t>5</w:t>
            </w:r>
            <w:r>
              <w:rPr>
                <w:noProof/>
              </w:rPr>
              <w:fldChar w:fldCharType="end"/>
            </w:r>
          </w:hyperlink>
        </w:p>
        <w:p w14:paraId="6582FDBA" w14:textId="3FAA3A81"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61" w:history="1">
            <w:r w:rsidRPr="0054562B">
              <w:rPr>
                <w:rStyle w:val="Hyperlink"/>
                <w:noProof/>
              </w:rPr>
              <w:t>VI.  Data Handling &amp; Confidentiality</w:t>
            </w:r>
            <w:r>
              <w:rPr>
                <w:noProof/>
              </w:rPr>
              <w:tab/>
            </w:r>
            <w:r>
              <w:rPr>
                <w:noProof/>
              </w:rPr>
              <w:fldChar w:fldCharType="begin"/>
            </w:r>
            <w:r>
              <w:rPr>
                <w:noProof/>
              </w:rPr>
              <w:instrText xml:space="preserve"> PAGEREF _Toc232761861 \h </w:instrText>
            </w:r>
            <w:r>
              <w:rPr>
                <w:noProof/>
              </w:rPr>
            </w:r>
            <w:r>
              <w:rPr>
                <w:noProof/>
              </w:rPr>
              <w:fldChar w:fldCharType="separate"/>
            </w:r>
            <w:r>
              <w:rPr>
                <w:noProof/>
              </w:rPr>
              <w:t>6</w:t>
            </w:r>
            <w:r>
              <w:rPr>
                <w:noProof/>
              </w:rPr>
              <w:fldChar w:fldCharType="end"/>
            </w:r>
          </w:hyperlink>
        </w:p>
        <w:p w14:paraId="6D4CB4C4" w14:textId="2E7E8D9F"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62" w:history="1">
            <w:r w:rsidRPr="0054562B">
              <w:rPr>
                <w:rStyle w:val="Hyperlink"/>
                <w:noProof/>
              </w:rPr>
              <w:t>VII.  The Mandatory HI Review Step</w:t>
            </w:r>
            <w:r>
              <w:rPr>
                <w:rStyle w:val="Hyperlink"/>
                <w:noProof/>
              </w:rPr>
              <w:t xml:space="preserve"> - </w:t>
            </w:r>
            <w:r w:rsidRPr="0054562B">
              <w:rPr>
                <w:rStyle w:val="Hyperlink"/>
                <w:noProof/>
              </w:rPr>
              <w:t>Deliverables</w:t>
            </w:r>
            <w:r>
              <w:rPr>
                <w:noProof/>
              </w:rPr>
              <w:tab/>
            </w:r>
            <w:r>
              <w:rPr>
                <w:noProof/>
              </w:rPr>
              <w:fldChar w:fldCharType="begin"/>
            </w:r>
            <w:r>
              <w:rPr>
                <w:noProof/>
              </w:rPr>
              <w:instrText xml:space="preserve"> PAGEREF _Toc232761862 \h </w:instrText>
            </w:r>
            <w:r>
              <w:rPr>
                <w:noProof/>
              </w:rPr>
            </w:r>
            <w:r>
              <w:rPr>
                <w:noProof/>
              </w:rPr>
              <w:fldChar w:fldCharType="separate"/>
            </w:r>
            <w:r>
              <w:rPr>
                <w:noProof/>
              </w:rPr>
              <w:t>7</w:t>
            </w:r>
            <w:r>
              <w:rPr>
                <w:noProof/>
              </w:rPr>
              <w:fldChar w:fldCharType="end"/>
            </w:r>
          </w:hyperlink>
        </w:p>
        <w:p w14:paraId="32BFA822" w14:textId="5E9BD595"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63" w:history="1">
            <w:r w:rsidRPr="0054562B">
              <w:rPr>
                <w:rStyle w:val="Hyperlink"/>
                <w:noProof/>
              </w:rPr>
              <w:t>VIII.  Governance of AI Systems NURO Builds &amp; Deploys</w:t>
            </w:r>
            <w:r>
              <w:rPr>
                <w:noProof/>
              </w:rPr>
              <w:tab/>
            </w:r>
            <w:r>
              <w:rPr>
                <w:noProof/>
              </w:rPr>
              <w:fldChar w:fldCharType="begin"/>
            </w:r>
            <w:r>
              <w:rPr>
                <w:noProof/>
              </w:rPr>
              <w:instrText xml:space="preserve"> PAGEREF _Toc232761863 \h </w:instrText>
            </w:r>
            <w:r>
              <w:rPr>
                <w:noProof/>
              </w:rPr>
            </w:r>
            <w:r>
              <w:rPr>
                <w:noProof/>
              </w:rPr>
              <w:fldChar w:fldCharType="separate"/>
            </w:r>
            <w:r>
              <w:rPr>
                <w:noProof/>
              </w:rPr>
              <w:t>9</w:t>
            </w:r>
            <w:r>
              <w:rPr>
                <w:noProof/>
              </w:rPr>
              <w:fldChar w:fldCharType="end"/>
            </w:r>
          </w:hyperlink>
        </w:p>
        <w:p w14:paraId="7DA1ED99" w14:textId="73E44C74"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64" w:history="1">
            <w:r w:rsidRPr="0054562B">
              <w:rPr>
                <w:rStyle w:val="Hyperlink"/>
                <w:noProof/>
              </w:rPr>
              <w:t>IX.  Client Engagement Standards</w:t>
            </w:r>
            <w:r>
              <w:rPr>
                <w:noProof/>
              </w:rPr>
              <w:tab/>
            </w:r>
            <w:r>
              <w:rPr>
                <w:noProof/>
              </w:rPr>
              <w:fldChar w:fldCharType="begin"/>
            </w:r>
            <w:r>
              <w:rPr>
                <w:noProof/>
              </w:rPr>
              <w:instrText xml:space="preserve"> PAGEREF _Toc232761864 \h </w:instrText>
            </w:r>
            <w:r>
              <w:rPr>
                <w:noProof/>
              </w:rPr>
            </w:r>
            <w:r>
              <w:rPr>
                <w:noProof/>
              </w:rPr>
              <w:fldChar w:fldCharType="separate"/>
            </w:r>
            <w:r>
              <w:rPr>
                <w:noProof/>
              </w:rPr>
              <w:t>10</w:t>
            </w:r>
            <w:r>
              <w:rPr>
                <w:noProof/>
              </w:rPr>
              <w:fldChar w:fldCharType="end"/>
            </w:r>
          </w:hyperlink>
        </w:p>
        <w:p w14:paraId="48251133" w14:textId="075624C4"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65" w:history="1">
            <w:r w:rsidRPr="0054562B">
              <w:rPr>
                <w:rStyle w:val="Hyperlink"/>
                <w:noProof/>
              </w:rPr>
              <w:t>X.  Prohibited Uses</w:t>
            </w:r>
            <w:r>
              <w:rPr>
                <w:rStyle w:val="Hyperlink"/>
                <w:noProof/>
              </w:rPr>
              <w:t xml:space="preserve"> - </w:t>
            </w:r>
            <w:r w:rsidRPr="0054562B">
              <w:rPr>
                <w:rStyle w:val="Hyperlink"/>
                <w:noProof/>
              </w:rPr>
              <w:t>Zero Tolerance</w:t>
            </w:r>
            <w:r>
              <w:rPr>
                <w:noProof/>
              </w:rPr>
              <w:tab/>
            </w:r>
            <w:r>
              <w:rPr>
                <w:noProof/>
              </w:rPr>
              <w:fldChar w:fldCharType="begin"/>
            </w:r>
            <w:r>
              <w:rPr>
                <w:noProof/>
              </w:rPr>
              <w:instrText xml:space="preserve"> PAGEREF _Toc232761865 \h </w:instrText>
            </w:r>
            <w:r>
              <w:rPr>
                <w:noProof/>
              </w:rPr>
            </w:r>
            <w:r>
              <w:rPr>
                <w:noProof/>
              </w:rPr>
              <w:fldChar w:fldCharType="separate"/>
            </w:r>
            <w:r>
              <w:rPr>
                <w:noProof/>
              </w:rPr>
              <w:t>11</w:t>
            </w:r>
            <w:r>
              <w:rPr>
                <w:noProof/>
              </w:rPr>
              <w:fldChar w:fldCharType="end"/>
            </w:r>
          </w:hyperlink>
        </w:p>
        <w:p w14:paraId="5111ACB7" w14:textId="389EAB31"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66" w:history="1">
            <w:r w:rsidRPr="0054562B">
              <w:rPr>
                <w:rStyle w:val="Hyperlink"/>
                <w:noProof/>
              </w:rPr>
              <w:t>XI.  Human Oversight, Roles &amp; Accountability</w:t>
            </w:r>
            <w:r>
              <w:rPr>
                <w:noProof/>
              </w:rPr>
              <w:tab/>
            </w:r>
            <w:r>
              <w:rPr>
                <w:noProof/>
              </w:rPr>
              <w:fldChar w:fldCharType="begin"/>
            </w:r>
            <w:r>
              <w:rPr>
                <w:noProof/>
              </w:rPr>
              <w:instrText xml:space="preserve"> PAGEREF _Toc232761866 \h </w:instrText>
            </w:r>
            <w:r>
              <w:rPr>
                <w:noProof/>
              </w:rPr>
            </w:r>
            <w:r>
              <w:rPr>
                <w:noProof/>
              </w:rPr>
              <w:fldChar w:fldCharType="separate"/>
            </w:r>
            <w:r>
              <w:rPr>
                <w:noProof/>
              </w:rPr>
              <w:t>11</w:t>
            </w:r>
            <w:r>
              <w:rPr>
                <w:noProof/>
              </w:rPr>
              <w:fldChar w:fldCharType="end"/>
            </w:r>
          </w:hyperlink>
        </w:p>
        <w:p w14:paraId="2E1BC47E" w14:textId="1C07F29C"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67" w:history="1">
            <w:r w:rsidRPr="0054562B">
              <w:rPr>
                <w:rStyle w:val="Hyperlink"/>
                <w:noProof/>
              </w:rPr>
              <w:t>XII.  Incident Response &amp; Reporting</w:t>
            </w:r>
            <w:r>
              <w:rPr>
                <w:noProof/>
              </w:rPr>
              <w:tab/>
            </w:r>
            <w:r>
              <w:rPr>
                <w:noProof/>
              </w:rPr>
              <w:fldChar w:fldCharType="begin"/>
            </w:r>
            <w:r>
              <w:rPr>
                <w:noProof/>
              </w:rPr>
              <w:instrText xml:space="preserve"> PAGEREF _Toc232761867 \h </w:instrText>
            </w:r>
            <w:r>
              <w:rPr>
                <w:noProof/>
              </w:rPr>
            </w:r>
            <w:r>
              <w:rPr>
                <w:noProof/>
              </w:rPr>
              <w:fldChar w:fldCharType="separate"/>
            </w:r>
            <w:r>
              <w:rPr>
                <w:noProof/>
              </w:rPr>
              <w:t>12</w:t>
            </w:r>
            <w:r>
              <w:rPr>
                <w:noProof/>
              </w:rPr>
              <w:fldChar w:fldCharType="end"/>
            </w:r>
          </w:hyperlink>
        </w:p>
        <w:p w14:paraId="7A4DF1B5" w14:textId="4231D0C7"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68" w:history="1">
            <w:r w:rsidRPr="0054562B">
              <w:rPr>
                <w:rStyle w:val="Hyperlink"/>
                <w:noProof/>
              </w:rPr>
              <w:t>XIII.  Monitoring, Audit &amp; Continuous Improvement</w:t>
            </w:r>
            <w:r>
              <w:rPr>
                <w:noProof/>
              </w:rPr>
              <w:tab/>
            </w:r>
            <w:r>
              <w:rPr>
                <w:noProof/>
              </w:rPr>
              <w:fldChar w:fldCharType="begin"/>
            </w:r>
            <w:r>
              <w:rPr>
                <w:noProof/>
              </w:rPr>
              <w:instrText xml:space="preserve"> PAGEREF _Toc232761868 \h </w:instrText>
            </w:r>
            <w:r>
              <w:rPr>
                <w:noProof/>
              </w:rPr>
            </w:r>
            <w:r>
              <w:rPr>
                <w:noProof/>
              </w:rPr>
              <w:fldChar w:fldCharType="separate"/>
            </w:r>
            <w:r>
              <w:rPr>
                <w:noProof/>
              </w:rPr>
              <w:t>12</w:t>
            </w:r>
            <w:r>
              <w:rPr>
                <w:noProof/>
              </w:rPr>
              <w:fldChar w:fldCharType="end"/>
            </w:r>
          </w:hyperlink>
        </w:p>
        <w:p w14:paraId="1B3EA817" w14:textId="3BBE98F1"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69" w:history="1">
            <w:r w:rsidRPr="0054562B">
              <w:rPr>
                <w:rStyle w:val="Hyperlink"/>
                <w:noProof/>
              </w:rPr>
              <w:t>XIV.  Training &amp; Awareness</w:t>
            </w:r>
            <w:r>
              <w:rPr>
                <w:noProof/>
              </w:rPr>
              <w:tab/>
            </w:r>
            <w:r>
              <w:rPr>
                <w:noProof/>
              </w:rPr>
              <w:fldChar w:fldCharType="begin"/>
            </w:r>
            <w:r>
              <w:rPr>
                <w:noProof/>
              </w:rPr>
              <w:instrText xml:space="preserve"> PAGEREF _Toc232761869 \h </w:instrText>
            </w:r>
            <w:r>
              <w:rPr>
                <w:noProof/>
              </w:rPr>
            </w:r>
            <w:r>
              <w:rPr>
                <w:noProof/>
              </w:rPr>
              <w:fldChar w:fldCharType="separate"/>
            </w:r>
            <w:r>
              <w:rPr>
                <w:noProof/>
              </w:rPr>
              <w:t>12</w:t>
            </w:r>
            <w:r>
              <w:rPr>
                <w:noProof/>
              </w:rPr>
              <w:fldChar w:fldCharType="end"/>
            </w:r>
          </w:hyperlink>
        </w:p>
        <w:p w14:paraId="4DC32D15" w14:textId="47616184"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70" w:history="1">
            <w:r w:rsidRPr="0054562B">
              <w:rPr>
                <w:rStyle w:val="Hyperlink"/>
                <w:noProof/>
              </w:rPr>
              <w:t>XV.  Reservation of Rights &amp; Amendment</w:t>
            </w:r>
            <w:r>
              <w:rPr>
                <w:noProof/>
              </w:rPr>
              <w:tab/>
            </w:r>
            <w:r>
              <w:rPr>
                <w:noProof/>
              </w:rPr>
              <w:fldChar w:fldCharType="begin"/>
            </w:r>
            <w:r>
              <w:rPr>
                <w:noProof/>
              </w:rPr>
              <w:instrText xml:space="preserve"> PAGEREF _Toc232761870 \h </w:instrText>
            </w:r>
            <w:r>
              <w:rPr>
                <w:noProof/>
              </w:rPr>
            </w:r>
            <w:r>
              <w:rPr>
                <w:noProof/>
              </w:rPr>
              <w:fldChar w:fldCharType="separate"/>
            </w:r>
            <w:r>
              <w:rPr>
                <w:noProof/>
              </w:rPr>
              <w:t>13</w:t>
            </w:r>
            <w:r>
              <w:rPr>
                <w:noProof/>
              </w:rPr>
              <w:fldChar w:fldCharType="end"/>
            </w:r>
          </w:hyperlink>
        </w:p>
        <w:p w14:paraId="53A55758" w14:textId="1F6507BF"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71" w:history="1">
            <w:r w:rsidRPr="0054562B">
              <w:rPr>
                <w:rStyle w:val="Hyperlink"/>
                <w:noProof/>
              </w:rPr>
              <w:t>XVI.  Affirmation</w:t>
            </w:r>
            <w:r>
              <w:rPr>
                <w:noProof/>
              </w:rPr>
              <w:tab/>
            </w:r>
            <w:r>
              <w:rPr>
                <w:noProof/>
              </w:rPr>
              <w:fldChar w:fldCharType="begin"/>
            </w:r>
            <w:r>
              <w:rPr>
                <w:noProof/>
              </w:rPr>
              <w:instrText xml:space="preserve"> PAGEREF _Toc232761871 \h </w:instrText>
            </w:r>
            <w:r>
              <w:rPr>
                <w:noProof/>
              </w:rPr>
            </w:r>
            <w:r>
              <w:rPr>
                <w:noProof/>
              </w:rPr>
              <w:fldChar w:fldCharType="separate"/>
            </w:r>
            <w:r>
              <w:rPr>
                <w:noProof/>
              </w:rPr>
              <w:t>14</w:t>
            </w:r>
            <w:r>
              <w:rPr>
                <w:noProof/>
              </w:rPr>
              <w:fldChar w:fldCharType="end"/>
            </w:r>
          </w:hyperlink>
        </w:p>
        <w:p w14:paraId="0914A736" w14:textId="10DA38F6" w:rsidR="007A68A9" w:rsidRDefault="007A68A9">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32761872" w:history="1">
            <w:r w:rsidRPr="0054562B">
              <w:rPr>
                <w:rStyle w:val="Hyperlink"/>
                <w:noProof/>
              </w:rPr>
              <w:t>Acknowledgment &amp; Agreement</w:t>
            </w:r>
            <w:r>
              <w:rPr>
                <w:noProof/>
              </w:rPr>
              <w:tab/>
            </w:r>
            <w:r>
              <w:rPr>
                <w:noProof/>
              </w:rPr>
              <w:fldChar w:fldCharType="begin"/>
            </w:r>
            <w:r>
              <w:rPr>
                <w:noProof/>
              </w:rPr>
              <w:instrText xml:space="preserve"> PAGEREF _Toc232761872 \h </w:instrText>
            </w:r>
            <w:r>
              <w:rPr>
                <w:noProof/>
              </w:rPr>
            </w:r>
            <w:r>
              <w:rPr>
                <w:noProof/>
              </w:rPr>
              <w:fldChar w:fldCharType="separate"/>
            </w:r>
            <w:r>
              <w:rPr>
                <w:noProof/>
              </w:rPr>
              <w:t>15</w:t>
            </w:r>
            <w:r>
              <w:rPr>
                <w:noProof/>
              </w:rPr>
              <w:fldChar w:fldCharType="end"/>
            </w:r>
          </w:hyperlink>
        </w:p>
        <w:p w14:paraId="4DAAF463" w14:textId="785F66BB" w:rsidR="001E4DF4" w:rsidRDefault="00413E94">
          <w:r>
            <w:fldChar w:fldCharType="end"/>
          </w:r>
        </w:p>
      </w:sdtContent>
    </w:sdt>
    <w:p w14:paraId="326E4AF7" w14:textId="77777777" w:rsidR="001E4DF4" w:rsidRDefault="001E4DF4">
      <w:pPr>
        <w:pageBreakBefore/>
      </w:pPr>
    </w:p>
    <w:p w14:paraId="4C3EA6C5" w14:textId="77777777" w:rsidR="001E4DF4" w:rsidRDefault="00413E94">
      <w:pPr>
        <w:pStyle w:val="Heading1"/>
        <w:pBdr>
          <w:bottom w:val="single" w:sz="14" w:space="6" w:color="D4A84B"/>
        </w:pBdr>
      </w:pPr>
      <w:bookmarkStart w:id="0" w:name="_Toc232761856"/>
      <w:r>
        <w:rPr>
          <w:color w:val="A8842F"/>
        </w:rPr>
        <w:t xml:space="preserve">I.  </w:t>
      </w:r>
      <w:r>
        <w:t>Purpose &amp; Governing Doctrine</w:t>
      </w:r>
      <w:bookmarkEnd w:id="0"/>
    </w:p>
    <w:p w14:paraId="1A90A085" w14:textId="6E37FF8E" w:rsidR="001E4DF4" w:rsidRDefault="00413E94">
      <w:pPr>
        <w:spacing w:after="140" w:line="276" w:lineRule="auto"/>
      </w:pPr>
      <w:r>
        <w:t>NURO.is is an artificial intelligence company. We do not merely use AI</w:t>
      </w:r>
      <w:r w:rsidR="007A68A9">
        <w:t xml:space="preserve"> - </w:t>
      </w:r>
      <w:r>
        <w:t>we design, build, deploy, and operate AI systems and autonomous agents on behalf of our clients. That dual position raises our obligation: we are held to the standard we sell. This Policy governs every way AI enters our work, from a team member drafting a proposal to an autonomous voice agent speaking with a client's customer.</w:t>
      </w:r>
    </w:p>
    <w:p w14:paraId="396AD6B3" w14:textId="77777777" w:rsidR="001E4DF4" w:rsidRDefault="00413E94">
      <w:pPr>
        <w:spacing w:after="140" w:line="276" w:lineRule="auto"/>
      </w:pPr>
      <w:r>
        <w:t>This Policy is not a brake on innovation. It is the operating system that makes innovation safe to scale. It exists to ensure that every AI capability NURO touches is accurate, accountable, confidential, and under human command.</w:t>
      </w:r>
    </w:p>
    <w:p w14:paraId="52BB5656" w14:textId="77777777" w:rsidR="001E4DF4" w:rsidRDefault="00413E94">
      <w:pPr>
        <w:pStyle w:val="Heading2"/>
      </w:pPr>
      <w:r>
        <w:t>The Doctrine</w:t>
      </w:r>
    </w:p>
    <w:p w14:paraId="77EBFBC1" w14:textId="77777777" w:rsidR="001E4DF4" w:rsidRDefault="00413E94">
      <w:pPr>
        <w:spacing w:after="140" w:line="276" w:lineRule="auto"/>
      </w:pPr>
      <w:r>
        <w:t xml:space="preserve">All AI activity at NURO is governed by a single, non-negotiable doctrine drawn from our published framework, </w:t>
      </w:r>
      <w:r>
        <w:rPr>
          <w:b/>
          <w:bCs/>
          <w:color w:val="A8842F"/>
        </w:rPr>
        <w:t xml:space="preserve">HI → AI = </w:t>
      </w:r>
      <w:r w:rsidRPr="007A68A9">
        <w:rPr>
          <w:b/>
          <w:bCs/>
          <w:color w:val="A8842F"/>
        </w:rPr>
        <w:t>I</w:t>
      </w:r>
      <w:r w:rsidRPr="007A68A9">
        <w:rPr>
          <w:b/>
          <w:bCs/>
          <w:color w:val="A8842F"/>
          <w:vertAlign w:val="superscript"/>
        </w:rPr>
        <w:t>E</w:t>
      </w:r>
      <w:r>
        <w:t xml:space="preserve"> (Human Intelligence into Artificial Intelligence equals Innovation to the Power of Everything):</w:t>
      </w:r>
    </w:p>
    <w:p w14:paraId="33260523" w14:textId="614AC5C7" w:rsidR="001E4DF4" w:rsidRDefault="00413E94">
      <w:pPr>
        <w:pStyle w:val="ListParagraph"/>
        <w:numPr>
          <w:ilvl w:val="0"/>
          <w:numId w:val="2"/>
        </w:numPr>
        <w:spacing w:after="80" w:line="268" w:lineRule="auto"/>
      </w:pPr>
      <w:r>
        <w:rPr>
          <w:b/>
          <w:bCs/>
          <w:color w:val="1E1E1E"/>
        </w:rPr>
        <w:t xml:space="preserve">HI defines. AI amplifies. </w:t>
      </w:r>
      <w:r>
        <w:t>AI is a probabilistic engine that mirrors and scales the clarity</w:t>
      </w:r>
      <w:r w:rsidR="007A68A9">
        <w:t xml:space="preserve"> - </w:t>
      </w:r>
      <w:r>
        <w:t>or the chaos</w:t>
      </w:r>
      <w:r w:rsidR="007A68A9">
        <w:t xml:space="preserve"> - </w:t>
      </w:r>
      <w:r>
        <w:t xml:space="preserve">of the human intelligence directing it. It does not understand meaning, </w:t>
      </w:r>
      <w:r w:rsidR="009001C6">
        <w:t>bear</w:t>
      </w:r>
      <w:r>
        <w:t xml:space="preserve"> responsibility, or </w:t>
      </w:r>
      <w:r w:rsidR="009001C6">
        <w:t>fac</w:t>
      </w:r>
      <w:r>
        <w:t>e consequence</w:t>
      </w:r>
      <w:r w:rsidR="009001C6">
        <w:t>s</w:t>
      </w:r>
      <w:r>
        <w:t>.</w:t>
      </w:r>
    </w:p>
    <w:p w14:paraId="549FEA74" w14:textId="61E09C27" w:rsidR="001E4DF4" w:rsidRDefault="00413E94">
      <w:pPr>
        <w:pStyle w:val="ListParagraph"/>
        <w:numPr>
          <w:ilvl w:val="0"/>
          <w:numId w:val="2"/>
        </w:numPr>
        <w:spacing w:after="80" w:line="268" w:lineRule="auto"/>
      </w:pPr>
      <w:r>
        <w:rPr>
          <w:b/>
          <w:bCs/>
          <w:color w:val="1E1E1E"/>
        </w:rPr>
        <w:t xml:space="preserve">HI governs. AI executes. </w:t>
      </w:r>
      <w:r>
        <w:t xml:space="preserve">A human being remains the source of every decision, boundary, and command. The machine is the force that carries </w:t>
      </w:r>
      <w:r>
        <w:t>out</w:t>
      </w:r>
      <w:r w:rsidR="007A68A9">
        <w:t xml:space="preserve"> the command</w:t>
      </w:r>
      <w:r>
        <w:t>.</w:t>
      </w:r>
    </w:p>
    <w:p w14:paraId="15F23CB5" w14:textId="00D360B5" w:rsidR="001E4DF4" w:rsidRDefault="00413E94">
      <w:pPr>
        <w:pStyle w:val="ListParagraph"/>
        <w:numPr>
          <w:ilvl w:val="0"/>
          <w:numId w:val="2"/>
        </w:numPr>
        <w:spacing w:after="80" w:line="268" w:lineRule="auto"/>
      </w:pPr>
      <w:r>
        <w:rPr>
          <w:b/>
          <w:bCs/>
          <w:color w:val="1E1E1E"/>
        </w:rPr>
        <w:t xml:space="preserve">HI is the Source. AI is the Force. </w:t>
      </w:r>
      <w:r>
        <w:t>The Source must always lead the Force. AI is never a source of fact, law, judgment, or authority.</w:t>
      </w:r>
      <w:r w:rsidR="007A68A9">
        <w:br/>
      </w:r>
    </w:p>
    <w:p w14:paraId="090FBA0F" w14:textId="4831BFBE" w:rsidR="001E4DF4" w:rsidRDefault="00413E94">
      <w:pPr>
        <w:spacing w:after="140" w:line="276" w:lineRule="auto"/>
      </w:pPr>
      <w:r>
        <w:t>Because AI is an amplifier, it inherits the strength</w:t>
      </w:r>
      <w:r w:rsidR="009001C6">
        <w:t>s</w:t>
      </w:r>
      <w:r>
        <w:t xml:space="preserve"> </w:t>
      </w:r>
      <w:r w:rsidR="009001C6">
        <w:t>and</w:t>
      </w:r>
      <w:r>
        <w:t xml:space="preserve"> weakness</w:t>
      </w:r>
      <w:r w:rsidR="009001C6">
        <w:t>es</w:t>
      </w:r>
      <w:r>
        <w:t xml:space="preserve"> of the human intelligence behind it. NURO therefore requires that the </w:t>
      </w:r>
      <w:r>
        <w:rPr>
          <w:b/>
          <w:bCs/>
          <w:color w:val="A8842F"/>
        </w:rPr>
        <w:t>Four Pillars of Human Intelligence</w:t>
      </w:r>
      <w:r w:rsidR="007A68A9">
        <w:t xml:space="preserve"> - </w:t>
      </w:r>
      <w:r>
        <w:t>Meaning, Identity, Responsibility, and Emotional Regulation</w:t>
      </w:r>
      <w:r w:rsidR="007A68A9">
        <w:t xml:space="preserve"> - </w:t>
      </w:r>
      <w:r>
        <w:t>be stable before any AI capability is deployed. When these pillars are defined, AI is a force multiplier. When they are ambiguous, AI is a chaos amplifier.</w:t>
      </w:r>
      <w:r w:rsidR="007A68A9">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E4DF4" w14:paraId="20F338F8" w14:textId="77777777">
        <w:tblPrEx>
          <w:tblCellMar>
            <w:top w:w="0" w:type="dxa"/>
            <w:bottom w:w="0" w:type="dxa"/>
          </w:tblCellMar>
        </w:tblPrEx>
        <w:tc>
          <w:tcPr>
            <w:tcW w:w="9360" w:type="dxa"/>
            <w:tcBorders>
              <w:top w:val="single" w:sz="2" w:space="0" w:color="EFEBE0"/>
              <w:left w:val="single" w:sz="24" w:space="0" w:color="D4A84B"/>
              <w:bottom w:val="single" w:sz="2" w:space="0" w:color="EFEBE0"/>
              <w:right w:val="single" w:sz="2" w:space="0" w:color="EFEBE0"/>
            </w:tcBorders>
            <w:shd w:val="clear" w:color="auto" w:fill="EFEBE0"/>
            <w:tcMar>
              <w:top w:w="140" w:type="dxa"/>
              <w:left w:w="200" w:type="dxa"/>
              <w:bottom w:w="140" w:type="dxa"/>
              <w:right w:w="180" w:type="dxa"/>
            </w:tcMar>
          </w:tcPr>
          <w:p w14:paraId="3B617DCF" w14:textId="024EDC90" w:rsidR="001E4DF4" w:rsidRDefault="00413E94">
            <w:pPr>
              <w:spacing w:after="100"/>
            </w:pPr>
            <w:r>
              <w:rPr>
                <w:b/>
                <w:bCs/>
                <w:color w:val="1E1E1E"/>
              </w:rPr>
              <w:t>The HI Step</w:t>
            </w:r>
            <w:r w:rsidR="007A68A9">
              <w:rPr>
                <w:b/>
                <w:bCs/>
                <w:color w:val="1E1E1E"/>
              </w:rPr>
              <w:t xml:space="preserve"> - </w:t>
            </w:r>
            <w:r>
              <w:rPr>
                <w:b/>
                <w:bCs/>
                <w:color w:val="1E1E1E"/>
              </w:rPr>
              <w:t>The Core Safeguard of This Policy</w:t>
            </w:r>
          </w:p>
          <w:p w14:paraId="2624360F" w14:textId="77777777" w:rsidR="001E4DF4" w:rsidRDefault="00413E94">
            <w:pPr>
              <w:spacing w:after="70" w:line="264" w:lineRule="auto"/>
            </w:pPr>
            <w:r>
              <w:rPr>
                <w:sz w:val="20"/>
                <w:szCs w:val="20"/>
              </w:rPr>
              <w:t>No AI output enters any work product, client deliverable, client communication, or production system without first passing a Human Intelligence (HI) Review Step performed by an accountable person.</w:t>
            </w:r>
          </w:p>
          <w:p w14:paraId="563A9858" w14:textId="77777777" w:rsidR="001E4DF4" w:rsidRDefault="00413E94">
            <w:pPr>
              <w:spacing w:after="70" w:line="264" w:lineRule="auto"/>
            </w:pPr>
            <w:r>
              <w:rPr>
                <w:sz w:val="20"/>
                <w:szCs w:val="20"/>
              </w:rPr>
              <w:t>The HI Step is mandatory, non-delegable to the machine, and never waived for speed, urgency, or workload. A human reviews, verifies, and takes ownership before AI output is used. This single rule is the spine of everything that follows.</w:t>
            </w:r>
          </w:p>
        </w:tc>
      </w:tr>
    </w:tbl>
    <w:p w14:paraId="2DDD4322" w14:textId="77777777" w:rsidR="001E4DF4" w:rsidRDefault="00413E94">
      <w:pPr>
        <w:pStyle w:val="Heading1"/>
        <w:pBdr>
          <w:bottom w:val="single" w:sz="14" w:space="6" w:color="D4A84B"/>
        </w:pBdr>
      </w:pPr>
      <w:bookmarkStart w:id="1" w:name="_Toc232761857"/>
      <w:r>
        <w:rPr>
          <w:color w:val="A8842F"/>
        </w:rPr>
        <w:t xml:space="preserve">II.  </w:t>
      </w:r>
      <w:r>
        <w:t>Scope &amp; Definitions</w:t>
      </w:r>
      <w:bookmarkEnd w:id="1"/>
    </w:p>
    <w:p w14:paraId="1C653C4E" w14:textId="77777777" w:rsidR="001E4DF4" w:rsidRDefault="00413E94">
      <w:pPr>
        <w:pStyle w:val="Heading2"/>
      </w:pPr>
      <w:r>
        <w:t>A.  Covered Personnel</w:t>
      </w:r>
    </w:p>
    <w:p w14:paraId="72C744B7" w14:textId="77777777" w:rsidR="001E4DF4" w:rsidRDefault="00413E94">
      <w:pPr>
        <w:spacing w:after="140" w:line="276" w:lineRule="auto"/>
      </w:pPr>
      <w:r>
        <w:t>This Policy is binding on every individual performing work on behalf of NURO or any NURO entity, regardless of role or employment status:</w:t>
      </w:r>
    </w:p>
    <w:p w14:paraId="61A40C27" w14:textId="30CA85FE" w:rsidR="001E4DF4" w:rsidRDefault="00413E94">
      <w:pPr>
        <w:pStyle w:val="ListParagraph"/>
        <w:numPr>
          <w:ilvl w:val="0"/>
          <w:numId w:val="2"/>
        </w:numPr>
        <w:spacing w:after="80" w:line="268" w:lineRule="auto"/>
      </w:pPr>
      <w:r>
        <w:t>Officers, employees, and members of NURO.is and all affiliated entities</w:t>
      </w:r>
      <w:r>
        <w:t>.</w:t>
      </w:r>
    </w:p>
    <w:p w14:paraId="6D730EC1" w14:textId="77777777" w:rsidR="001E4DF4" w:rsidRDefault="00413E94">
      <w:pPr>
        <w:pStyle w:val="ListParagraph"/>
        <w:numPr>
          <w:ilvl w:val="0"/>
          <w:numId w:val="2"/>
        </w:numPr>
        <w:spacing w:after="80" w:line="268" w:lineRule="auto"/>
      </w:pPr>
      <w:r>
        <w:t>Independent contractors, subcontractors, F-1/OPT and other visa-status workers, fractional staff, and interns.</w:t>
      </w:r>
    </w:p>
    <w:p w14:paraId="7209F31A" w14:textId="77777777" w:rsidR="001E4DF4" w:rsidRDefault="00413E94">
      <w:pPr>
        <w:pStyle w:val="ListParagraph"/>
        <w:numPr>
          <w:ilvl w:val="0"/>
          <w:numId w:val="2"/>
        </w:numPr>
        <w:spacing w:after="80" w:line="268" w:lineRule="auto"/>
      </w:pPr>
      <w:r>
        <w:t>Third-party vendors, BPO partners, and consultants who use AI while performing services for NURO or its clients under NURO supervision.</w:t>
      </w:r>
    </w:p>
    <w:p w14:paraId="02C0295B" w14:textId="77777777" w:rsidR="001E4DF4" w:rsidRDefault="00413E94">
      <w:pPr>
        <w:spacing w:after="140" w:line="276" w:lineRule="auto"/>
      </w:pPr>
      <w:r>
        <w:t xml:space="preserve">No person acting on behalf of NURO may use, build, or deploy any AI capability except in full compliance with this Policy. </w:t>
      </w:r>
      <w:r>
        <w:rPr>
          <w:b/>
          <w:bCs/>
          <w:color w:val="1E1E1E"/>
        </w:rPr>
        <w:t>Where it is unclear whether a tool, system, or use is covered, the default is that it is covered.</w:t>
      </w:r>
    </w:p>
    <w:p w14:paraId="20FF33BE" w14:textId="77777777" w:rsidR="001E4DF4" w:rsidRDefault="00413E94">
      <w:pPr>
        <w:pStyle w:val="Heading2"/>
      </w:pPr>
      <w:r>
        <w:t>B.  Three Operating Contexts</w:t>
      </w:r>
    </w:p>
    <w:p w14:paraId="7970D5E4" w14:textId="77777777" w:rsidR="001E4DF4" w:rsidRDefault="00413E94">
      <w:pPr>
        <w:spacing w:after="140" w:line="276" w:lineRule="auto"/>
      </w:pPr>
      <w:r>
        <w:t>AI enters NURO's work in three distinct contexts. Every requirement in this Policy is mapped to one or more of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3100"/>
        <w:gridCol w:w="4760"/>
      </w:tblGrid>
      <w:tr w:rsidR="001E4DF4" w14:paraId="24788EB0" w14:textId="77777777">
        <w:tblPrEx>
          <w:tblCellMar>
            <w:top w:w="0" w:type="dxa"/>
            <w:bottom w:w="0" w:type="dxa"/>
          </w:tblCellMar>
        </w:tblPrEx>
        <w:trPr>
          <w:tblHeader/>
        </w:trPr>
        <w:tc>
          <w:tcPr>
            <w:tcW w:w="15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78CA82D0" w14:textId="77777777" w:rsidR="001E4DF4" w:rsidRDefault="00413E94">
            <w:pPr>
              <w:spacing w:line="252" w:lineRule="auto"/>
            </w:pPr>
            <w:r>
              <w:rPr>
                <w:b/>
                <w:bCs/>
                <w:color w:val="D4A84B"/>
                <w:sz w:val="20"/>
                <w:szCs w:val="20"/>
              </w:rPr>
              <w:t>Context</w:t>
            </w:r>
          </w:p>
        </w:tc>
        <w:tc>
          <w:tcPr>
            <w:tcW w:w="31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0C09507D" w14:textId="77777777" w:rsidR="001E4DF4" w:rsidRDefault="00413E94">
            <w:pPr>
              <w:spacing w:line="252" w:lineRule="auto"/>
            </w:pPr>
            <w:r>
              <w:rPr>
                <w:b/>
                <w:bCs/>
                <w:color w:val="D4A84B"/>
                <w:sz w:val="20"/>
                <w:szCs w:val="20"/>
              </w:rPr>
              <w:t>Definition</w:t>
            </w:r>
          </w:p>
        </w:tc>
        <w:tc>
          <w:tcPr>
            <w:tcW w:w="476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5C6186AD" w14:textId="77777777" w:rsidR="001E4DF4" w:rsidRDefault="00413E94">
            <w:pPr>
              <w:spacing w:line="252" w:lineRule="auto"/>
            </w:pPr>
            <w:r>
              <w:rPr>
                <w:b/>
                <w:bCs/>
                <w:color w:val="D4A84B"/>
                <w:sz w:val="20"/>
                <w:szCs w:val="20"/>
              </w:rPr>
              <w:t>Primary Governing Sections</w:t>
            </w:r>
          </w:p>
        </w:tc>
      </w:tr>
      <w:tr w:rsidR="001E4DF4" w14:paraId="47A24F6D" w14:textId="77777777">
        <w:tblPrEx>
          <w:tblCellMar>
            <w:top w:w="0" w:type="dxa"/>
            <w:bottom w:w="0" w:type="dxa"/>
          </w:tblCellMar>
        </w:tblPrEx>
        <w:tc>
          <w:tcPr>
            <w:tcW w:w="15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4006C8BC" w14:textId="77777777" w:rsidR="001E4DF4" w:rsidRDefault="00413E94">
            <w:pPr>
              <w:spacing w:line="252" w:lineRule="auto"/>
            </w:pPr>
            <w:r>
              <w:rPr>
                <w:b/>
                <w:bCs/>
                <w:color w:val="1E1E1E"/>
                <w:sz w:val="19"/>
                <w:szCs w:val="19"/>
              </w:rPr>
              <w:t>USE</w:t>
            </w:r>
          </w:p>
        </w:tc>
        <w:tc>
          <w:tcPr>
            <w:tcW w:w="31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5F4FA31F" w14:textId="77777777" w:rsidR="001E4DF4" w:rsidRDefault="00413E94">
            <w:pPr>
              <w:spacing w:line="252" w:lineRule="auto"/>
            </w:pPr>
            <w:r>
              <w:rPr>
                <w:sz w:val="19"/>
                <w:szCs w:val="19"/>
              </w:rPr>
              <w:t>AI tools used internally by the team to produce work (writing, code, research, analysis).</w:t>
            </w:r>
          </w:p>
        </w:tc>
        <w:tc>
          <w:tcPr>
            <w:tcW w:w="47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D31B967" w14:textId="77777777" w:rsidR="001E4DF4" w:rsidRDefault="00413E94">
            <w:pPr>
              <w:spacing w:line="252" w:lineRule="auto"/>
            </w:pPr>
            <w:r>
              <w:rPr>
                <w:sz w:val="19"/>
                <w:szCs w:val="19"/>
              </w:rPr>
              <w:t>V (Tools), VI (Data), XI (Training)</w:t>
            </w:r>
          </w:p>
        </w:tc>
      </w:tr>
      <w:tr w:rsidR="001E4DF4" w14:paraId="675C22F5" w14:textId="77777777">
        <w:tblPrEx>
          <w:tblCellMar>
            <w:top w:w="0" w:type="dxa"/>
            <w:bottom w:w="0" w:type="dxa"/>
          </w:tblCellMar>
        </w:tblPrEx>
        <w:tc>
          <w:tcPr>
            <w:tcW w:w="15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38CDEC7A" w14:textId="77777777" w:rsidR="001E4DF4" w:rsidRDefault="00413E94">
            <w:pPr>
              <w:spacing w:line="252" w:lineRule="auto"/>
            </w:pPr>
            <w:r>
              <w:rPr>
                <w:b/>
                <w:bCs/>
                <w:color w:val="1E1E1E"/>
                <w:sz w:val="19"/>
                <w:szCs w:val="19"/>
              </w:rPr>
              <w:t>DELIVER</w:t>
            </w:r>
          </w:p>
        </w:tc>
        <w:tc>
          <w:tcPr>
            <w:tcW w:w="31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4EF5E307" w14:textId="3854AB82" w:rsidR="001E4DF4" w:rsidRDefault="00413E94">
            <w:pPr>
              <w:spacing w:line="252" w:lineRule="auto"/>
            </w:pPr>
            <w:r>
              <w:rPr>
                <w:sz w:val="19"/>
                <w:szCs w:val="19"/>
              </w:rPr>
              <w:t>AI-assisted content that leaves NURO</w:t>
            </w:r>
            <w:r w:rsidR="007A68A9">
              <w:rPr>
                <w:sz w:val="19"/>
                <w:szCs w:val="19"/>
              </w:rPr>
              <w:t xml:space="preserve"> - </w:t>
            </w:r>
            <w:r>
              <w:rPr>
                <w:sz w:val="19"/>
                <w:szCs w:val="19"/>
              </w:rPr>
              <w:t>proposals, reports, letters, code, client materials.</w:t>
            </w:r>
          </w:p>
        </w:tc>
        <w:tc>
          <w:tcPr>
            <w:tcW w:w="47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4A137429" w14:textId="77777777" w:rsidR="001E4DF4" w:rsidRDefault="00413E94">
            <w:pPr>
              <w:spacing w:line="252" w:lineRule="auto"/>
            </w:pPr>
            <w:r>
              <w:rPr>
                <w:sz w:val="19"/>
                <w:szCs w:val="19"/>
              </w:rPr>
              <w:t>VII (HI Review Step), IX (Client Standards)</w:t>
            </w:r>
          </w:p>
        </w:tc>
      </w:tr>
      <w:tr w:rsidR="001E4DF4" w14:paraId="7DE8D449" w14:textId="77777777">
        <w:tblPrEx>
          <w:tblCellMar>
            <w:top w:w="0" w:type="dxa"/>
            <w:bottom w:w="0" w:type="dxa"/>
          </w:tblCellMar>
        </w:tblPrEx>
        <w:tc>
          <w:tcPr>
            <w:tcW w:w="15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54B5F794" w14:textId="77777777" w:rsidR="001E4DF4" w:rsidRDefault="00413E94">
            <w:pPr>
              <w:spacing w:line="252" w:lineRule="auto"/>
            </w:pPr>
            <w:r>
              <w:rPr>
                <w:b/>
                <w:bCs/>
                <w:color w:val="1E1E1E"/>
                <w:sz w:val="19"/>
                <w:szCs w:val="19"/>
              </w:rPr>
              <w:t>BUILD</w:t>
            </w:r>
          </w:p>
        </w:tc>
        <w:tc>
          <w:tcPr>
            <w:tcW w:w="31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63E7DC27" w14:textId="77777777" w:rsidR="001E4DF4" w:rsidRDefault="00413E94">
            <w:pPr>
              <w:spacing w:line="252" w:lineRule="auto"/>
            </w:pPr>
            <w:r>
              <w:rPr>
                <w:sz w:val="19"/>
                <w:szCs w:val="19"/>
              </w:rPr>
              <w:t>AI systems, automations, and autonomous agents NURO designs, deploys, and operates for clients.</w:t>
            </w:r>
          </w:p>
        </w:tc>
        <w:tc>
          <w:tcPr>
            <w:tcW w:w="47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50F5B9E1" w14:textId="77777777" w:rsidR="001E4DF4" w:rsidRDefault="00413E94">
            <w:pPr>
              <w:spacing w:line="252" w:lineRule="auto"/>
            </w:pPr>
            <w:r>
              <w:rPr>
                <w:sz w:val="19"/>
                <w:szCs w:val="19"/>
              </w:rPr>
              <w:t>VIII (Agentic Governance), IX, XII (Incident)</w:t>
            </w:r>
          </w:p>
        </w:tc>
      </w:tr>
    </w:tbl>
    <w:p w14:paraId="6824F5C5" w14:textId="77777777" w:rsidR="001E4DF4" w:rsidRDefault="00413E94">
      <w:pPr>
        <w:pStyle w:val="Heading2"/>
      </w:pPr>
      <w:r>
        <w:t>C.  Key Definitions</w:t>
      </w:r>
    </w:p>
    <w:p w14:paraId="6CF56D24" w14:textId="12C3F1C2" w:rsidR="001E4DF4" w:rsidRDefault="00413E94">
      <w:pPr>
        <w:pStyle w:val="ListParagraph"/>
        <w:numPr>
          <w:ilvl w:val="0"/>
          <w:numId w:val="2"/>
        </w:numPr>
        <w:spacing w:after="80" w:line="268" w:lineRule="auto"/>
      </w:pPr>
      <w:r>
        <w:rPr>
          <w:b/>
          <w:bCs/>
          <w:color w:val="1E1E1E"/>
        </w:rPr>
        <w:t>Generative AI / LLM</w:t>
      </w:r>
      <w:r w:rsidR="007A68A9">
        <w:rPr>
          <w:b/>
          <w:bCs/>
          <w:color w:val="1E1E1E"/>
        </w:rPr>
        <w:t xml:space="preserve"> - </w:t>
      </w:r>
      <w:r>
        <w:t>Any system that produces text, code, images, audio, or analysis from a probabilistic model (e.g., Claude, ChatGPT, Gemini, Copilot, Grok), accessed via consumer interface, API, extension, or integration.</w:t>
      </w:r>
    </w:p>
    <w:p w14:paraId="1E68F178" w14:textId="4DC7D8B1" w:rsidR="001E4DF4" w:rsidRDefault="00413E94">
      <w:pPr>
        <w:pStyle w:val="ListParagraph"/>
        <w:numPr>
          <w:ilvl w:val="0"/>
          <w:numId w:val="2"/>
        </w:numPr>
        <w:spacing w:after="80" w:line="268" w:lineRule="auto"/>
      </w:pPr>
      <w:r>
        <w:rPr>
          <w:b/>
          <w:bCs/>
          <w:color w:val="1E1E1E"/>
        </w:rPr>
        <w:t>AI Agent</w:t>
      </w:r>
      <w:r w:rsidR="007A68A9">
        <w:rPr>
          <w:b/>
          <w:bCs/>
          <w:color w:val="1E1E1E"/>
        </w:rPr>
        <w:t xml:space="preserve"> - </w:t>
      </w:r>
      <w:r>
        <w:t>An AI system granted tools, permissions, or the ability to take actions in real systems</w:t>
      </w:r>
      <w:r w:rsidR="007A68A9">
        <w:t xml:space="preserve"> - </w:t>
      </w:r>
      <w:r>
        <w:t>sending messages, writing records, placing calls, executing workflows</w:t>
      </w:r>
      <w:r w:rsidR="007A68A9">
        <w:t xml:space="preserve"> - </w:t>
      </w:r>
      <w:r>
        <w:t>with reduced or no human input per action. NURO's voice agents, GHL automations, and APIP intelligence layers are agents.</w:t>
      </w:r>
    </w:p>
    <w:p w14:paraId="3B0457F2" w14:textId="163720C9" w:rsidR="001E4DF4" w:rsidRDefault="00413E94">
      <w:pPr>
        <w:pStyle w:val="ListParagraph"/>
        <w:numPr>
          <w:ilvl w:val="0"/>
          <w:numId w:val="2"/>
        </w:numPr>
        <w:spacing w:after="80" w:line="268" w:lineRule="auto"/>
      </w:pPr>
      <w:r>
        <w:rPr>
          <w:b/>
          <w:bCs/>
          <w:color w:val="1E1E1E"/>
        </w:rPr>
        <w:t>Autonomous Action</w:t>
      </w:r>
      <w:r w:rsidR="007A68A9">
        <w:rPr>
          <w:b/>
          <w:bCs/>
          <w:color w:val="1E1E1E"/>
        </w:rPr>
        <w:t xml:space="preserve"> - </w:t>
      </w:r>
      <w:r>
        <w:t>Any step an agent performs without a human approving that specific step before it occurs.</w:t>
      </w:r>
    </w:p>
    <w:p w14:paraId="30AEA01A" w14:textId="230AB83B" w:rsidR="001E4DF4" w:rsidRDefault="00413E94">
      <w:pPr>
        <w:pStyle w:val="ListParagraph"/>
        <w:numPr>
          <w:ilvl w:val="0"/>
          <w:numId w:val="2"/>
        </w:numPr>
        <w:spacing w:after="80" w:line="268" w:lineRule="auto"/>
      </w:pPr>
      <w:r>
        <w:rPr>
          <w:b/>
          <w:bCs/>
          <w:color w:val="1E1E1E"/>
        </w:rPr>
        <w:t>Bounded Autonomy</w:t>
      </w:r>
      <w:r w:rsidR="007A68A9">
        <w:rPr>
          <w:b/>
          <w:bCs/>
          <w:color w:val="1E1E1E"/>
        </w:rPr>
        <w:t xml:space="preserve"> - </w:t>
      </w:r>
      <w:r>
        <w:t>The explicit, documented set of actions an agent is permitted to take on its own</w:t>
      </w:r>
      <w:r w:rsidR="007A68A9">
        <w:t xml:space="preserve"> - </w:t>
      </w:r>
      <w:r>
        <w:t>and the boundary past which a human checkpoint is required.</w:t>
      </w:r>
    </w:p>
    <w:p w14:paraId="3640E056" w14:textId="5C61F80D" w:rsidR="001E4DF4" w:rsidRDefault="00413E94">
      <w:pPr>
        <w:pStyle w:val="ListParagraph"/>
        <w:numPr>
          <w:ilvl w:val="0"/>
          <w:numId w:val="2"/>
        </w:numPr>
        <w:spacing w:after="80" w:line="268" w:lineRule="auto"/>
      </w:pPr>
      <w:r>
        <w:rPr>
          <w:b/>
          <w:bCs/>
          <w:color w:val="1E1E1E"/>
        </w:rPr>
        <w:t>Shadow AI</w:t>
      </w:r>
      <w:r w:rsidR="007A68A9">
        <w:rPr>
          <w:b/>
          <w:bCs/>
          <w:color w:val="1E1E1E"/>
        </w:rPr>
        <w:t xml:space="preserve"> - </w:t>
      </w:r>
      <w:r>
        <w:t>Any AI tool used for NURO work without review and approval under Section V. Shadow AI is prohibited.</w:t>
      </w:r>
    </w:p>
    <w:p w14:paraId="71EB0361" w14:textId="0BB3819A" w:rsidR="001E4DF4" w:rsidRDefault="00413E94">
      <w:pPr>
        <w:pStyle w:val="ListParagraph"/>
        <w:numPr>
          <w:ilvl w:val="0"/>
          <w:numId w:val="2"/>
        </w:numPr>
        <w:spacing w:after="80" w:line="268" w:lineRule="auto"/>
      </w:pPr>
      <w:r>
        <w:rPr>
          <w:b/>
          <w:bCs/>
          <w:color w:val="1E1E1E"/>
        </w:rPr>
        <w:t>HI Review Step</w:t>
      </w:r>
      <w:r w:rsidR="007A68A9">
        <w:rPr>
          <w:b/>
          <w:bCs/>
          <w:color w:val="1E1E1E"/>
        </w:rPr>
        <w:t xml:space="preserve"> - </w:t>
      </w:r>
      <w:r>
        <w:t>The mandatory human verification and ownership step defined in Section VII before AI output is used or shipped.</w:t>
      </w:r>
    </w:p>
    <w:p w14:paraId="5FED8CA8" w14:textId="27644CFE" w:rsidR="001E4DF4" w:rsidRDefault="00413E94">
      <w:pPr>
        <w:pStyle w:val="ListParagraph"/>
        <w:numPr>
          <w:ilvl w:val="0"/>
          <w:numId w:val="2"/>
        </w:numPr>
        <w:spacing w:after="80" w:line="268" w:lineRule="auto"/>
      </w:pPr>
      <w:r>
        <w:rPr>
          <w:b/>
          <w:bCs/>
          <w:color w:val="1E1E1E"/>
        </w:rPr>
        <w:t>Client-Confidential Data</w:t>
      </w:r>
      <w:r w:rsidR="007A68A9">
        <w:rPr>
          <w:b/>
          <w:bCs/>
          <w:color w:val="1E1E1E"/>
        </w:rPr>
        <w:t xml:space="preserve"> - </w:t>
      </w:r>
      <w:r>
        <w:t>Any information identifying, or provided by, a client or a client's customers</w:t>
      </w:r>
      <w:r w:rsidR="007A68A9">
        <w:t xml:space="preserve"> - </w:t>
      </w:r>
      <w:r>
        <w:t xml:space="preserve">including CRE owner records, </w:t>
      </w:r>
      <w:r>
        <w:t>financials, PII, case facts, and contact data.</w:t>
      </w:r>
    </w:p>
    <w:p w14:paraId="373A02F1" w14:textId="34EC28F7" w:rsidR="001E4DF4" w:rsidRDefault="00413E94">
      <w:pPr>
        <w:pStyle w:val="Heading1"/>
        <w:pBdr>
          <w:bottom w:val="single" w:sz="14" w:space="6" w:color="D4A84B"/>
        </w:pBdr>
      </w:pPr>
      <w:bookmarkStart w:id="2" w:name="_Toc232761858"/>
      <w:r>
        <w:rPr>
          <w:color w:val="A8842F"/>
        </w:rPr>
        <w:t xml:space="preserve">III.  </w:t>
      </w:r>
      <w:r>
        <w:t>Governing Principles</w:t>
      </w:r>
      <w:r w:rsidR="007A68A9">
        <w:t xml:space="preserve"> - </w:t>
      </w:r>
      <w:r>
        <w:t>The HI Framework</w:t>
      </w:r>
      <w:bookmarkEnd w:id="2"/>
    </w:p>
    <w:p w14:paraId="478F9F55" w14:textId="77777777" w:rsidR="001E4DF4" w:rsidRDefault="00413E94">
      <w:pPr>
        <w:spacing w:after="160" w:line="276" w:lineRule="auto"/>
      </w:pPr>
      <w:r>
        <w:rPr>
          <w:i/>
          <w:iCs/>
        </w:rPr>
        <w:t>Ten non-negotiable principles govern every AI decision at NURO. Where any other instruction conflicts with these, these control.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0"/>
        <w:gridCol w:w="2900"/>
        <w:gridCol w:w="5700"/>
      </w:tblGrid>
      <w:tr w:rsidR="001E4DF4" w14:paraId="5E189D69" w14:textId="77777777">
        <w:tblPrEx>
          <w:tblCellMar>
            <w:top w:w="0" w:type="dxa"/>
            <w:bottom w:w="0" w:type="dxa"/>
          </w:tblCellMar>
        </w:tblPrEx>
        <w:tc>
          <w:tcPr>
            <w:tcW w:w="76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6BE05A2A" w14:textId="77777777" w:rsidR="001E4DF4" w:rsidRDefault="00413E94">
            <w:pPr>
              <w:spacing w:line="252" w:lineRule="auto"/>
              <w:jc w:val="center"/>
            </w:pPr>
            <w:r>
              <w:rPr>
                <w:b/>
                <w:bCs/>
                <w:color w:val="D4A84B"/>
                <w:sz w:val="22"/>
                <w:szCs w:val="22"/>
              </w:rPr>
              <w:t>01</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18EFF8BE" w14:textId="77777777" w:rsidR="001E4DF4" w:rsidRDefault="00413E94">
            <w:pPr>
              <w:spacing w:line="252" w:lineRule="auto"/>
            </w:pPr>
            <w:r>
              <w:rPr>
                <w:b/>
                <w:bCs/>
                <w:color w:val="1E1E1E"/>
                <w:sz w:val="19"/>
                <w:szCs w:val="19"/>
              </w:rPr>
              <w:t>AI is a tool, not an authority.</w:t>
            </w:r>
          </w:p>
        </w:tc>
        <w:tc>
          <w:tcPr>
            <w:tcW w:w="57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492651B0" w14:textId="77777777" w:rsidR="001E4DF4" w:rsidRDefault="00413E94">
            <w:pPr>
              <w:spacing w:line="252" w:lineRule="auto"/>
            </w:pPr>
            <w:r>
              <w:rPr>
                <w:sz w:val="19"/>
                <w:szCs w:val="19"/>
              </w:rPr>
              <w:t>AI output is never a source of fact, law, professional judgment, or strategy. It is a starting point that a human must verify and own.</w:t>
            </w:r>
          </w:p>
        </w:tc>
      </w:tr>
      <w:tr w:rsidR="001E4DF4" w14:paraId="05655F0B" w14:textId="77777777">
        <w:tblPrEx>
          <w:tblCellMar>
            <w:top w:w="0" w:type="dxa"/>
            <w:bottom w:w="0" w:type="dxa"/>
          </w:tblCellMar>
        </w:tblPrEx>
        <w:tc>
          <w:tcPr>
            <w:tcW w:w="76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715BA221" w14:textId="77777777" w:rsidR="001E4DF4" w:rsidRDefault="00413E94">
            <w:pPr>
              <w:spacing w:line="252" w:lineRule="auto"/>
              <w:jc w:val="center"/>
            </w:pPr>
            <w:r>
              <w:rPr>
                <w:b/>
                <w:bCs/>
                <w:color w:val="D4A84B"/>
                <w:sz w:val="22"/>
                <w:szCs w:val="22"/>
              </w:rPr>
              <w:t>02</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6367B5C9" w14:textId="77777777" w:rsidR="001E4DF4" w:rsidRDefault="00413E94">
            <w:pPr>
              <w:spacing w:line="252" w:lineRule="auto"/>
            </w:pPr>
            <w:r>
              <w:rPr>
                <w:b/>
                <w:bCs/>
                <w:color w:val="1E1E1E"/>
                <w:sz w:val="19"/>
                <w:szCs w:val="19"/>
              </w:rPr>
              <w:t>Human responsibility is non-delegable.</w:t>
            </w:r>
          </w:p>
        </w:tc>
        <w:tc>
          <w:tcPr>
            <w:tcW w:w="57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1CB5CC25" w14:textId="0DD18BEF" w:rsidR="001E4DF4" w:rsidRDefault="00413E94">
            <w:pPr>
              <w:spacing w:line="252" w:lineRule="auto"/>
            </w:pPr>
            <w:r>
              <w:rPr>
                <w:sz w:val="19"/>
                <w:szCs w:val="19"/>
              </w:rPr>
              <w:t>A named person remains fully responsible for every statement, deliverable, and system action</w:t>
            </w:r>
            <w:r w:rsidR="007A68A9">
              <w:rPr>
                <w:sz w:val="19"/>
                <w:szCs w:val="19"/>
              </w:rPr>
              <w:t xml:space="preserve"> - </w:t>
            </w:r>
            <w:r>
              <w:rPr>
                <w:sz w:val="19"/>
                <w:szCs w:val="19"/>
              </w:rPr>
              <w:t>regardless of how it was generated or which model produced it.</w:t>
            </w:r>
          </w:p>
        </w:tc>
      </w:tr>
      <w:tr w:rsidR="001E4DF4" w14:paraId="17165ADA" w14:textId="77777777">
        <w:tblPrEx>
          <w:tblCellMar>
            <w:top w:w="0" w:type="dxa"/>
            <w:bottom w:w="0" w:type="dxa"/>
          </w:tblCellMar>
        </w:tblPrEx>
        <w:tc>
          <w:tcPr>
            <w:tcW w:w="76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1CFBD3EF" w14:textId="77777777" w:rsidR="001E4DF4" w:rsidRDefault="00413E94">
            <w:pPr>
              <w:spacing w:line="252" w:lineRule="auto"/>
              <w:jc w:val="center"/>
            </w:pPr>
            <w:r>
              <w:rPr>
                <w:b/>
                <w:bCs/>
                <w:color w:val="D4A84B"/>
                <w:sz w:val="22"/>
                <w:szCs w:val="22"/>
              </w:rPr>
              <w:t>03</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3FE2E60" w14:textId="77777777" w:rsidR="001E4DF4" w:rsidRDefault="00413E94">
            <w:pPr>
              <w:spacing w:line="252" w:lineRule="auto"/>
            </w:pPr>
            <w:r>
              <w:rPr>
                <w:b/>
                <w:bCs/>
                <w:color w:val="1E1E1E"/>
                <w:sz w:val="19"/>
                <w:szCs w:val="19"/>
              </w:rPr>
              <w:t>The HI Step is mandatory.</w:t>
            </w:r>
          </w:p>
        </w:tc>
        <w:tc>
          <w:tcPr>
            <w:tcW w:w="57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4945D558" w14:textId="77777777" w:rsidR="001E4DF4" w:rsidRDefault="00413E94">
            <w:pPr>
              <w:spacing w:line="252" w:lineRule="auto"/>
            </w:pPr>
            <w:r>
              <w:rPr>
                <w:sz w:val="19"/>
                <w:szCs w:val="19"/>
              </w:rPr>
              <w:t>No AI output enters work product, client communication, or a production system without a Human Intelligence review step. Non-negotiable.</w:t>
            </w:r>
          </w:p>
        </w:tc>
      </w:tr>
      <w:tr w:rsidR="001E4DF4" w14:paraId="2427992D" w14:textId="77777777">
        <w:tblPrEx>
          <w:tblCellMar>
            <w:top w:w="0" w:type="dxa"/>
            <w:bottom w:w="0" w:type="dxa"/>
          </w:tblCellMar>
        </w:tblPrEx>
        <w:tc>
          <w:tcPr>
            <w:tcW w:w="76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4FA8146B" w14:textId="77777777" w:rsidR="001E4DF4" w:rsidRDefault="00413E94">
            <w:pPr>
              <w:spacing w:line="252" w:lineRule="auto"/>
              <w:jc w:val="center"/>
            </w:pPr>
            <w:r>
              <w:rPr>
                <w:b/>
                <w:bCs/>
                <w:color w:val="D4A84B"/>
                <w:sz w:val="22"/>
                <w:szCs w:val="22"/>
              </w:rPr>
              <w:t>04</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7E2421B0" w14:textId="77777777" w:rsidR="001E4DF4" w:rsidRDefault="00413E94">
            <w:pPr>
              <w:spacing w:line="252" w:lineRule="auto"/>
            </w:pPr>
            <w:r>
              <w:rPr>
                <w:b/>
                <w:bCs/>
                <w:color w:val="1E1E1E"/>
                <w:sz w:val="19"/>
                <w:szCs w:val="19"/>
              </w:rPr>
              <w:t>Verification over trust.</w:t>
            </w:r>
          </w:p>
        </w:tc>
        <w:tc>
          <w:tcPr>
            <w:tcW w:w="57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4B2D4E74" w14:textId="77777777" w:rsidR="001E4DF4" w:rsidRDefault="00413E94">
            <w:pPr>
              <w:spacing w:line="252" w:lineRule="auto"/>
            </w:pPr>
            <w:r>
              <w:rPr>
                <w:sz w:val="19"/>
                <w:szCs w:val="19"/>
              </w:rPr>
              <w:t>No AI-generated citation, figure, claim, name, or legal/financial statement is relied upon without independent confirmation from a primary source.</w:t>
            </w:r>
          </w:p>
        </w:tc>
      </w:tr>
      <w:tr w:rsidR="001E4DF4" w14:paraId="518F3D0A" w14:textId="77777777">
        <w:tblPrEx>
          <w:tblCellMar>
            <w:top w:w="0" w:type="dxa"/>
            <w:bottom w:w="0" w:type="dxa"/>
          </w:tblCellMar>
        </w:tblPrEx>
        <w:tc>
          <w:tcPr>
            <w:tcW w:w="76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1E2C0F71" w14:textId="77777777" w:rsidR="001E4DF4" w:rsidRDefault="00413E94">
            <w:pPr>
              <w:spacing w:line="252" w:lineRule="auto"/>
              <w:jc w:val="center"/>
            </w:pPr>
            <w:r>
              <w:rPr>
                <w:b/>
                <w:bCs/>
                <w:color w:val="D4A84B"/>
                <w:sz w:val="22"/>
                <w:szCs w:val="22"/>
              </w:rPr>
              <w:t>05</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1B592F74" w14:textId="77777777" w:rsidR="001E4DF4" w:rsidRDefault="00413E94">
            <w:pPr>
              <w:spacing w:line="252" w:lineRule="auto"/>
            </w:pPr>
            <w:r>
              <w:rPr>
                <w:b/>
                <w:bCs/>
                <w:color w:val="1E1E1E"/>
                <w:sz w:val="19"/>
                <w:szCs w:val="19"/>
              </w:rPr>
              <w:t>Confidentiality is paramount.</w:t>
            </w:r>
          </w:p>
        </w:tc>
        <w:tc>
          <w:tcPr>
            <w:tcW w:w="57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477E40F8" w14:textId="77777777" w:rsidR="001E4DF4" w:rsidRDefault="00413E94">
            <w:pPr>
              <w:spacing w:line="252" w:lineRule="auto"/>
            </w:pPr>
            <w:r>
              <w:rPr>
                <w:sz w:val="19"/>
                <w:szCs w:val="19"/>
              </w:rPr>
              <w:t xml:space="preserve">AI platforms are not inherently confidential. Client and proprietary data </w:t>
            </w:r>
            <w:proofErr w:type="gramStart"/>
            <w:r>
              <w:rPr>
                <w:sz w:val="19"/>
                <w:szCs w:val="19"/>
              </w:rPr>
              <w:t>is</w:t>
            </w:r>
            <w:proofErr w:type="gramEnd"/>
            <w:r>
              <w:rPr>
                <w:sz w:val="19"/>
                <w:szCs w:val="19"/>
              </w:rPr>
              <w:t xml:space="preserve"> protected and only enters AI systems under contractual safeguards (Section VI).</w:t>
            </w:r>
          </w:p>
        </w:tc>
      </w:tr>
      <w:tr w:rsidR="001E4DF4" w14:paraId="563567BE" w14:textId="77777777">
        <w:tblPrEx>
          <w:tblCellMar>
            <w:top w:w="0" w:type="dxa"/>
            <w:bottom w:w="0" w:type="dxa"/>
          </w:tblCellMar>
        </w:tblPrEx>
        <w:tc>
          <w:tcPr>
            <w:tcW w:w="76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7F258564" w14:textId="77777777" w:rsidR="001E4DF4" w:rsidRDefault="00413E94">
            <w:pPr>
              <w:spacing w:line="252" w:lineRule="auto"/>
              <w:jc w:val="center"/>
            </w:pPr>
            <w:r>
              <w:rPr>
                <w:b/>
                <w:bCs/>
                <w:color w:val="D4A84B"/>
                <w:sz w:val="22"/>
                <w:szCs w:val="22"/>
              </w:rPr>
              <w:t>06</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5D7B4895" w14:textId="77777777" w:rsidR="001E4DF4" w:rsidRDefault="00413E94">
            <w:pPr>
              <w:spacing w:line="252" w:lineRule="auto"/>
            </w:pPr>
            <w:r>
              <w:rPr>
                <w:b/>
                <w:bCs/>
                <w:color w:val="1E1E1E"/>
                <w:sz w:val="19"/>
                <w:szCs w:val="19"/>
              </w:rPr>
              <w:t>Bounded autonomy by default.</w:t>
            </w:r>
          </w:p>
        </w:tc>
        <w:tc>
          <w:tcPr>
            <w:tcW w:w="57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5D9C74B0" w14:textId="77777777" w:rsidR="001E4DF4" w:rsidRDefault="00413E94">
            <w:pPr>
              <w:spacing w:line="252" w:lineRule="auto"/>
            </w:pPr>
            <w:r>
              <w:rPr>
                <w:sz w:val="19"/>
                <w:szCs w:val="19"/>
              </w:rPr>
              <w:t>Every agent NURO builds operates inside explicit decision boundaries, with human checkpoints on consequential actions. No agent runs unbounded.</w:t>
            </w:r>
          </w:p>
        </w:tc>
      </w:tr>
      <w:tr w:rsidR="001E4DF4" w14:paraId="3090D33E" w14:textId="77777777">
        <w:tblPrEx>
          <w:tblCellMar>
            <w:top w:w="0" w:type="dxa"/>
            <w:bottom w:w="0" w:type="dxa"/>
          </w:tblCellMar>
        </w:tblPrEx>
        <w:tc>
          <w:tcPr>
            <w:tcW w:w="76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59D9BBC3" w14:textId="77777777" w:rsidR="001E4DF4" w:rsidRDefault="00413E94">
            <w:pPr>
              <w:spacing w:line="252" w:lineRule="auto"/>
              <w:jc w:val="center"/>
            </w:pPr>
            <w:r>
              <w:rPr>
                <w:b/>
                <w:bCs/>
                <w:color w:val="D4A84B"/>
                <w:sz w:val="22"/>
                <w:szCs w:val="22"/>
              </w:rPr>
              <w:t>07</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11051C95" w14:textId="77777777" w:rsidR="001E4DF4" w:rsidRDefault="00413E94">
            <w:pPr>
              <w:spacing w:line="252" w:lineRule="auto"/>
            </w:pPr>
            <w:r>
              <w:rPr>
                <w:b/>
                <w:bCs/>
                <w:color w:val="1E1E1E"/>
                <w:sz w:val="19"/>
                <w:szCs w:val="19"/>
              </w:rPr>
              <w:t>Transparency and disclosure.</w:t>
            </w:r>
          </w:p>
        </w:tc>
        <w:tc>
          <w:tcPr>
            <w:tcW w:w="57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C263375" w14:textId="77777777" w:rsidR="001E4DF4" w:rsidRDefault="00413E94">
            <w:pPr>
              <w:spacing w:line="252" w:lineRule="auto"/>
            </w:pPr>
            <w:r>
              <w:rPr>
                <w:sz w:val="19"/>
                <w:szCs w:val="19"/>
              </w:rPr>
              <w:t>End users are told when they are interacting with an AI agent. AI involvement is disclosed wherever required by law, contract, or honest dealing.</w:t>
            </w:r>
          </w:p>
        </w:tc>
      </w:tr>
      <w:tr w:rsidR="001E4DF4" w14:paraId="082D09B1" w14:textId="77777777">
        <w:tblPrEx>
          <w:tblCellMar>
            <w:top w:w="0" w:type="dxa"/>
            <w:bottom w:w="0" w:type="dxa"/>
          </w:tblCellMar>
        </w:tblPrEx>
        <w:tc>
          <w:tcPr>
            <w:tcW w:w="76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3F04ACCB" w14:textId="77777777" w:rsidR="001E4DF4" w:rsidRDefault="00413E94">
            <w:pPr>
              <w:spacing w:line="252" w:lineRule="auto"/>
              <w:jc w:val="center"/>
            </w:pPr>
            <w:r>
              <w:rPr>
                <w:b/>
                <w:bCs/>
                <w:color w:val="D4A84B"/>
                <w:sz w:val="22"/>
                <w:szCs w:val="22"/>
              </w:rPr>
              <w:t>08</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3165B539" w14:textId="77777777" w:rsidR="001E4DF4" w:rsidRDefault="00413E94">
            <w:pPr>
              <w:spacing w:line="252" w:lineRule="auto"/>
            </w:pPr>
            <w:r>
              <w:rPr>
                <w:b/>
                <w:bCs/>
                <w:color w:val="1E1E1E"/>
                <w:sz w:val="19"/>
                <w:szCs w:val="19"/>
              </w:rPr>
              <w:t>Accuracy over efficiency.</w:t>
            </w:r>
          </w:p>
        </w:tc>
        <w:tc>
          <w:tcPr>
            <w:tcW w:w="57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25E61E81" w14:textId="77777777" w:rsidR="001E4DF4" w:rsidRDefault="00413E94">
            <w:pPr>
              <w:spacing w:line="252" w:lineRule="auto"/>
            </w:pPr>
            <w:r>
              <w:rPr>
                <w:sz w:val="19"/>
                <w:szCs w:val="19"/>
              </w:rPr>
              <w:t>Speed never justifies shipping unverified output. A hallucinated fact, citation, or figure that reaches a client is a compliance failure, not a time saving.</w:t>
            </w:r>
          </w:p>
        </w:tc>
      </w:tr>
      <w:tr w:rsidR="001E4DF4" w14:paraId="729AF668" w14:textId="77777777">
        <w:tblPrEx>
          <w:tblCellMar>
            <w:top w:w="0" w:type="dxa"/>
            <w:bottom w:w="0" w:type="dxa"/>
          </w:tblCellMar>
        </w:tblPrEx>
        <w:tc>
          <w:tcPr>
            <w:tcW w:w="76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42D98213" w14:textId="77777777" w:rsidR="001E4DF4" w:rsidRDefault="00413E94">
            <w:pPr>
              <w:spacing w:line="252" w:lineRule="auto"/>
              <w:jc w:val="center"/>
            </w:pPr>
            <w:r>
              <w:rPr>
                <w:b/>
                <w:bCs/>
                <w:color w:val="D4A84B"/>
                <w:sz w:val="22"/>
                <w:szCs w:val="22"/>
              </w:rPr>
              <w:t>09</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2D5FE447" w14:textId="77777777" w:rsidR="001E4DF4" w:rsidRDefault="00413E94">
            <w:pPr>
              <w:spacing w:line="252" w:lineRule="auto"/>
            </w:pPr>
            <w:r>
              <w:rPr>
                <w:b/>
                <w:bCs/>
                <w:color w:val="1E1E1E"/>
                <w:sz w:val="19"/>
                <w:szCs w:val="19"/>
              </w:rPr>
              <w:t>Accountability is assigned.</w:t>
            </w:r>
          </w:p>
        </w:tc>
        <w:tc>
          <w:tcPr>
            <w:tcW w:w="57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52C5354F" w14:textId="77777777" w:rsidR="001E4DF4" w:rsidRDefault="00413E94">
            <w:pPr>
              <w:spacing w:line="252" w:lineRule="auto"/>
            </w:pPr>
            <w:r>
              <w:rPr>
                <w:sz w:val="19"/>
                <w:szCs w:val="19"/>
              </w:rPr>
              <w:t>Every AI system and agent in production has a named business owner and a named technical owner before it goes live.</w:t>
            </w:r>
          </w:p>
        </w:tc>
      </w:tr>
      <w:tr w:rsidR="001E4DF4" w14:paraId="0B5F1F3E" w14:textId="77777777">
        <w:tblPrEx>
          <w:tblCellMar>
            <w:top w:w="0" w:type="dxa"/>
            <w:bottom w:w="0" w:type="dxa"/>
          </w:tblCellMar>
        </w:tblPrEx>
        <w:tc>
          <w:tcPr>
            <w:tcW w:w="76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3DEBE466" w14:textId="77777777" w:rsidR="001E4DF4" w:rsidRDefault="00413E94">
            <w:pPr>
              <w:spacing w:line="252" w:lineRule="auto"/>
              <w:jc w:val="center"/>
            </w:pPr>
            <w:r>
              <w:rPr>
                <w:b/>
                <w:bCs/>
                <w:color w:val="D4A84B"/>
                <w:sz w:val="22"/>
                <w:szCs w:val="22"/>
              </w:rPr>
              <w:t>10</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1DA5F732" w14:textId="77777777" w:rsidR="001E4DF4" w:rsidRDefault="00413E94">
            <w:pPr>
              <w:spacing w:line="252" w:lineRule="auto"/>
            </w:pPr>
            <w:r>
              <w:rPr>
                <w:b/>
                <w:bCs/>
                <w:color w:val="1E1E1E"/>
                <w:sz w:val="19"/>
                <w:szCs w:val="19"/>
              </w:rPr>
              <w:t>Clarity is the safeguard.</w:t>
            </w:r>
          </w:p>
        </w:tc>
        <w:tc>
          <w:tcPr>
            <w:tcW w:w="57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309005A" w14:textId="77777777" w:rsidR="001E4DF4" w:rsidRDefault="00413E94">
            <w:pPr>
              <w:spacing w:line="252" w:lineRule="auto"/>
            </w:pPr>
            <w:r>
              <w:rPr>
                <w:sz w:val="19"/>
                <w:szCs w:val="19"/>
              </w:rPr>
              <w:t>AI amplifies the clarity or the confusion of the human directing it. Precise meaning, scope, and instruction are themselves controls.</w:t>
            </w:r>
          </w:p>
        </w:tc>
      </w:tr>
    </w:tbl>
    <w:p w14:paraId="5B3E36E3" w14:textId="77777777" w:rsidR="001E4DF4" w:rsidRDefault="00413E94">
      <w:pPr>
        <w:pStyle w:val="Heading1"/>
        <w:pBdr>
          <w:bottom w:val="single" w:sz="14" w:space="6" w:color="D4A84B"/>
        </w:pBdr>
      </w:pPr>
      <w:bookmarkStart w:id="3" w:name="_Toc232761859"/>
      <w:r>
        <w:rPr>
          <w:color w:val="A8842F"/>
        </w:rPr>
        <w:t xml:space="preserve">IV.  </w:t>
      </w:r>
      <w:r>
        <w:t>Regulatory &amp; Standards Alignment</w:t>
      </w:r>
      <w:bookmarkEnd w:id="3"/>
    </w:p>
    <w:p w14:paraId="7CCC771F" w14:textId="77777777" w:rsidR="001E4DF4" w:rsidRDefault="00413E94">
      <w:pPr>
        <w:spacing w:after="140" w:line="276" w:lineRule="auto"/>
      </w:pPr>
      <w:r>
        <w:t>NURO voluntarily aligns its AI governance with the frameworks that regulators, enterprise clients, and procurement teams now treat as the baseline. This alignment is both a risk control and a competitive credential we can demonstrate to clients.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060"/>
        <w:gridCol w:w="2900"/>
      </w:tblGrid>
      <w:tr w:rsidR="001E4DF4" w14:paraId="1CE4D0D0" w14:textId="77777777">
        <w:tblPrEx>
          <w:tblCellMar>
            <w:top w:w="0" w:type="dxa"/>
            <w:bottom w:w="0" w:type="dxa"/>
          </w:tblCellMar>
        </w:tblPrEx>
        <w:trPr>
          <w:tblHeader/>
        </w:trPr>
        <w:tc>
          <w:tcPr>
            <w:tcW w:w="24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4B02DAEB" w14:textId="77777777" w:rsidR="001E4DF4" w:rsidRDefault="00413E94">
            <w:pPr>
              <w:spacing w:line="252" w:lineRule="auto"/>
            </w:pPr>
            <w:r>
              <w:rPr>
                <w:b/>
                <w:bCs/>
                <w:color w:val="D4A84B"/>
                <w:sz w:val="20"/>
                <w:szCs w:val="20"/>
              </w:rPr>
              <w:t>Framework</w:t>
            </w:r>
          </w:p>
        </w:tc>
        <w:tc>
          <w:tcPr>
            <w:tcW w:w="406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4795508C" w14:textId="77777777" w:rsidR="001E4DF4" w:rsidRDefault="00413E94">
            <w:pPr>
              <w:spacing w:line="252" w:lineRule="auto"/>
            </w:pPr>
            <w:r>
              <w:rPr>
                <w:b/>
                <w:bCs/>
                <w:color w:val="D4A84B"/>
                <w:sz w:val="20"/>
                <w:szCs w:val="20"/>
              </w:rPr>
              <w:t>What It Governs</w:t>
            </w:r>
          </w:p>
        </w:tc>
        <w:tc>
          <w:tcPr>
            <w:tcW w:w="29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463FE945" w14:textId="77777777" w:rsidR="001E4DF4" w:rsidRDefault="00413E94">
            <w:pPr>
              <w:spacing w:line="252" w:lineRule="auto"/>
            </w:pPr>
            <w:r>
              <w:rPr>
                <w:b/>
                <w:bCs/>
                <w:color w:val="D4A84B"/>
                <w:sz w:val="20"/>
                <w:szCs w:val="20"/>
              </w:rPr>
              <w:t>How NURO Applies It</w:t>
            </w:r>
          </w:p>
        </w:tc>
      </w:tr>
      <w:tr w:rsidR="001E4DF4" w14:paraId="777E1402" w14:textId="77777777">
        <w:tblPrEx>
          <w:tblCellMar>
            <w:top w:w="0" w:type="dxa"/>
            <w:bottom w:w="0" w:type="dxa"/>
          </w:tblCellMar>
        </w:tblPrEx>
        <w:tc>
          <w:tcPr>
            <w:tcW w:w="24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112B7FC0" w14:textId="77777777" w:rsidR="001E4DF4" w:rsidRDefault="00413E94">
            <w:pPr>
              <w:spacing w:line="252" w:lineRule="auto"/>
            </w:pPr>
            <w:r>
              <w:rPr>
                <w:b/>
                <w:bCs/>
                <w:color w:val="1E1E1E"/>
                <w:sz w:val="19"/>
                <w:szCs w:val="19"/>
              </w:rPr>
              <w:t>NIST AI RMF 1.0</w:t>
            </w:r>
          </w:p>
        </w:tc>
        <w:tc>
          <w:tcPr>
            <w:tcW w:w="40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4CD0A777" w14:textId="77777777" w:rsidR="001E4DF4" w:rsidRDefault="00413E94">
            <w:pPr>
              <w:spacing w:line="252" w:lineRule="auto"/>
            </w:pPr>
            <w:r>
              <w:rPr>
                <w:sz w:val="19"/>
                <w:szCs w:val="19"/>
              </w:rPr>
              <w:t>Risk management lifecycle: Govern, Map, Measure, Manage.</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7BB55B57" w14:textId="77777777" w:rsidR="001E4DF4" w:rsidRDefault="00413E94">
            <w:pPr>
              <w:spacing w:line="252" w:lineRule="auto"/>
            </w:pPr>
            <w:r>
              <w:rPr>
                <w:sz w:val="19"/>
                <w:szCs w:val="19"/>
              </w:rPr>
              <w:t>The structure of this Policy and the AI System Register (Appendix C).</w:t>
            </w:r>
          </w:p>
        </w:tc>
      </w:tr>
      <w:tr w:rsidR="001E4DF4" w14:paraId="1CFEBB2D" w14:textId="77777777">
        <w:tblPrEx>
          <w:tblCellMar>
            <w:top w:w="0" w:type="dxa"/>
            <w:bottom w:w="0" w:type="dxa"/>
          </w:tblCellMar>
        </w:tblPrEx>
        <w:tc>
          <w:tcPr>
            <w:tcW w:w="24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3AD29739" w14:textId="77777777" w:rsidR="001E4DF4" w:rsidRDefault="00413E94">
            <w:pPr>
              <w:spacing w:line="252" w:lineRule="auto"/>
            </w:pPr>
            <w:r>
              <w:rPr>
                <w:b/>
                <w:bCs/>
                <w:color w:val="1E1E1E"/>
                <w:sz w:val="19"/>
                <w:szCs w:val="19"/>
              </w:rPr>
              <w:t>ISO/IEC 42001:2023</w:t>
            </w:r>
          </w:p>
        </w:tc>
        <w:tc>
          <w:tcPr>
            <w:tcW w:w="40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3C004158" w14:textId="77777777" w:rsidR="001E4DF4" w:rsidRDefault="00413E94">
            <w:pPr>
              <w:spacing w:line="252" w:lineRule="auto"/>
            </w:pPr>
            <w:r>
              <w:rPr>
                <w:sz w:val="19"/>
                <w:szCs w:val="19"/>
              </w:rPr>
              <w:t>AI Management System (AIMS): formal policy, roles, controls, continual improvement.</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70D7AC6D" w14:textId="77777777" w:rsidR="001E4DF4" w:rsidRDefault="00413E94">
            <w:pPr>
              <w:spacing w:line="252" w:lineRule="auto"/>
            </w:pPr>
            <w:r>
              <w:rPr>
                <w:sz w:val="19"/>
                <w:szCs w:val="19"/>
              </w:rPr>
              <w:t>Roles in Section X; review and audit cadence in Section XIII.</w:t>
            </w:r>
          </w:p>
        </w:tc>
      </w:tr>
      <w:tr w:rsidR="001E4DF4" w14:paraId="5C7550D3" w14:textId="77777777">
        <w:tblPrEx>
          <w:tblCellMar>
            <w:top w:w="0" w:type="dxa"/>
            <w:bottom w:w="0" w:type="dxa"/>
          </w:tblCellMar>
        </w:tblPrEx>
        <w:tc>
          <w:tcPr>
            <w:tcW w:w="24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735F5E46" w14:textId="77777777" w:rsidR="001E4DF4" w:rsidRDefault="00413E94">
            <w:pPr>
              <w:spacing w:line="252" w:lineRule="auto"/>
            </w:pPr>
            <w:r>
              <w:rPr>
                <w:b/>
                <w:bCs/>
                <w:color w:val="1E1E1E"/>
                <w:sz w:val="19"/>
                <w:szCs w:val="19"/>
              </w:rPr>
              <w:t>EU AI Act</w:t>
            </w:r>
          </w:p>
        </w:tc>
        <w:tc>
          <w:tcPr>
            <w:tcW w:w="40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2CB094B9" w14:textId="77777777" w:rsidR="001E4DF4" w:rsidRDefault="00413E94">
            <w:pPr>
              <w:spacing w:line="252" w:lineRule="auto"/>
            </w:pPr>
            <w:r>
              <w:rPr>
                <w:sz w:val="19"/>
                <w:szCs w:val="19"/>
              </w:rPr>
              <w:t>Risk-tiered obligations; transparency and human-oversight duties for high-risk and agentic systems.</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D464943" w14:textId="77777777" w:rsidR="001E4DF4" w:rsidRDefault="00413E94">
            <w:pPr>
              <w:spacing w:line="252" w:lineRule="auto"/>
            </w:pPr>
            <w:r>
              <w:rPr>
                <w:sz w:val="19"/>
                <w:szCs w:val="19"/>
              </w:rPr>
              <w:t>Applied to any deliverable or agent with EU exposure; informs agent risk classes (Section VIII).</w:t>
            </w:r>
          </w:p>
        </w:tc>
      </w:tr>
      <w:tr w:rsidR="001E4DF4" w14:paraId="7C0F4467" w14:textId="77777777">
        <w:tblPrEx>
          <w:tblCellMar>
            <w:top w:w="0" w:type="dxa"/>
            <w:bottom w:w="0" w:type="dxa"/>
          </w:tblCellMar>
        </w:tblPrEx>
        <w:tc>
          <w:tcPr>
            <w:tcW w:w="24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1BAAA56B" w14:textId="77777777" w:rsidR="001E4DF4" w:rsidRDefault="00413E94">
            <w:pPr>
              <w:spacing w:line="252" w:lineRule="auto"/>
            </w:pPr>
            <w:r>
              <w:rPr>
                <w:b/>
                <w:bCs/>
                <w:color w:val="1E1E1E"/>
                <w:sz w:val="19"/>
                <w:szCs w:val="19"/>
              </w:rPr>
              <w:t>Colorado AI Act / state law</w:t>
            </w:r>
          </w:p>
        </w:tc>
        <w:tc>
          <w:tcPr>
            <w:tcW w:w="40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7C98A986" w14:textId="77777777" w:rsidR="001E4DF4" w:rsidRDefault="00413E94">
            <w:pPr>
              <w:spacing w:line="252" w:lineRule="auto"/>
            </w:pPr>
            <w:r>
              <w:rPr>
                <w:sz w:val="19"/>
                <w:szCs w:val="19"/>
              </w:rPr>
              <w:t>Duties around consequential automated decisions; ISO 42001 recognized as a safe-harbor signal.</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7AC679A" w14:textId="77777777" w:rsidR="001E4DF4" w:rsidRDefault="00413E94">
            <w:pPr>
              <w:spacing w:line="252" w:lineRule="auto"/>
            </w:pPr>
            <w:r>
              <w:rPr>
                <w:sz w:val="19"/>
                <w:szCs w:val="19"/>
              </w:rPr>
              <w:t>Monitored for client jurisdictions; consequential-decision agents flagged for enhanced review.</w:t>
            </w:r>
          </w:p>
        </w:tc>
      </w:tr>
      <w:tr w:rsidR="001E4DF4" w14:paraId="6052B54C" w14:textId="77777777">
        <w:tblPrEx>
          <w:tblCellMar>
            <w:top w:w="0" w:type="dxa"/>
            <w:bottom w:w="0" w:type="dxa"/>
          </w:tblCellMar>
        </w:tblPrEx>
        <w:tc>
          <w:tcPr>
            <w:tcW w:w="24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70C00BDE" w14:textId="77777777" w:rsidR="001E4DF4" w:rsidRDefault="00413E94">
            <w:pPr>
              <w:spacing w:line="252" w:lineRule="auto"/>
            </w:pPr>
            <w:r>
              <w:rPr>
                <w:b/>
                <w:bCs/>
                <w:color w:val="1E1E1E"/>
                <w:sz w:val="19"/>
                <w:szCs w:val="19"/>
              </w:rPr>
              <w:t>OWASP LLM Top 10</w:t>
            </w:r>
          </w:p>
        </w:tc>
        <w:tc>
          <w:tcPr>
            <w:tcW w:w="40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1294256F" w14:textId="77777777" w:rsidR="001E4DF4" w:rsidRDefault="00413E94">
            <w:pPr>
              <w:spacing w:line="252" w:lineRule="auto"/>
            </w:pPr>
            <w:r>
              <w:rPr>
                <w:sz w:val="19"/>
                <w:szCs w:val="19"/>
              </w:rPr>
              <w:t>Security risks for LLM and agent applications (prompt injection, excessive agency, data leakage).</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586CC872" w14:textId="77777777" w:rsidR="001E4DF4" w:rsidRDefault="00413E94">
            <w:pPr>
              <w:spacing w:line="252" w:lineRule="auto"/>
            </w:pPr>
            <w:r>
              <w:rPr>
                <w:sz w:val="19"/>
                <w:szCs w:val="19"/>
              </w:rPr>
              <w:t>Required threat checklist for every BUILD project (Section VIII.E).</w:t>
            </w:r>
          </w:p>
        </w:tc>
      </w:tr>
    </w:tbl>
    <w:p w14:paraId="6002166C" w14:textId="77777777" w:rsidR="001E4DF4" w:rsidRDefault="00413E94">
      <w:pPr>
        <w:spacing w:after="140" w:line="276" w:lineRule="auto"/>
      </w:pPr>
      <w:r>
        <w:rPr>
          <w:i/>
          <w:iCs/>
          <w:sz w:val="20"/>
          <w:szCs w:val="20"/>
        </w:rPr>
        <w:t xml:space="preserve">Standards alignment is voluntary and </w:t>
      </w:r>
      <w:proofErr w:type="gramStart"/>
      <w:r>
        <w:rPr>
          <w:i/>
          <w:iCs/>
          <w:sz w:val="20"/>
          <w:szCs w:val="20"/>
        </w:rPr>
        <w:t>risk-based</w:t>
      </w:r>
      <w:proofErr w:type="gramEnd"/>
      <w:r>
        <w:rPr>
          <w:i/>
          <w:iCs/>
          <w:sz w:val="20"/>
          <w:szCs w:val="20"/>
        </w:rPr>
        <w:t>. NURO does not claim formal certification unless and until an accredited audit is completed; until then, references to these frameworks describe the standards NURO designs toward, not a certification held.</w:t>
      </w:r>
    </w:p>
    <w:p w14:paraId="4B232A11" w14:textId="74B9ED02" w:rsidR="001E4DF4" w:rsidRDefault="00413E94">
      <w:pPr>
        <w:pStyle w:val="Heading1"/>
        <w:pBdr>
          <w:bottom w:val="single" w:sz="14" w:space="6" w:color="D4A84B"/>
        </w:pBdr>
      </w:pPr>
      <w:bookmarkStart w:id="4" w:name="_Toc232761860"/>
      <w:r>
        <w:rPr>
          <w:color w:val="A8842F"/>
        </w:rPr>
        <w:t xml:space="preserve">V.  </w:t>
      </w:r>
      <w:r>
        <w:t>AI Tool Governance</w:t>
      </w:r>
      <w:r w:rsidR="007A68A9">
        <w:t xml:space="preserve"> - </w:t>
      </w:r>
      <w:r>
        <w:t>Internal Use</w:t>
      </w:r>
      <w:bookmarkEnd w:id="4"/>
    </w:p>
    <w:p w14:paraId="1F11992E" w14:textId="77777777" w:rsidR="001E4DF4" w:rsidRDefault="00413E94">
      <w:pPr>
        <w:spacing w:after="160" w:line="276" w:lineRule="auto"/>
      </w:pPr>
      <w:r>
        <w:rPr>
          <w:i/>
          <w:iCs/>
        </w:rPr>
        <w:t>Goal: channel all AI use into approved, reviewed tools. Bans drive AI underground; an approval path keeps it visible and governed.</w:t>
      </w:r>
    </w:p>
    <w:p w14:paraId="012E4CBC" w14:textId="77777777" w:rsidR="001E4DF4" w:rsidRDefault="00413E94">
      <w:pPr>
        <w:pStyle w:val="Heading2"/>
      </w:pPr>
      <w:r>
        <w:t>A.  Tool Approval Tiers</w:t>
      </w:r>
    </w:p>
    <w:p w14:paraId="684285A9" w14:textId="77777777" w:rsidR="001E4DF4" w:rsidRDefault="00413E94">
      <w:pPr>
        <w:spacing w:after="140" w:line="276" w:lineRule="auto"/>
      </w:pPr>
      <w:r>
        <w:t>Every AI tool used for NURO work falls into one of three tiers. The CAIO (or delegate) maintains the current Approved Tool 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4860"/>
        <w:gridCol w:w="2800"/>
      </w:tblGrid>
      <w:tr w:rsidR="001E4DF4" w14:paraId="3D2C5B53" w14:textId="77777777">
        <w:tblPrEx>
          <w:tblCellMar>
            <w:top w:w="0" w:type="dxa"/>
            <w:bottom w:w="0" w:type="dxa"/>
          </w:tblCellMar>
        </w:tblPrEx>
        <w:trPr>
          <w:tblHeader/>
        </w:trPr>
        <w:tc>
          <w:tcPr>
            <w:tcW w:w="17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5B0E9B88" w14:textId="77777777" w:rsidR="001E4DF4" w:rsidRDefault="00413E94">
            <w:pPr>
              <w:spacing w:line="252" w:lineRule="auto"/>
            </w:pPr>
            <w:r>
              <w:rPr>
                <w:b/>
                <w:bCs/>
                <w:color w:val="D4A84B"/>
                <w:sz w:val="20"/>
                <w:szCs w:val="20"/>
              </w:rPr>
              <w:t>Tier</w:t>
            </w:r>
          </w:p>
        </w:tc>
        <w:tc>
          <w:tcPr>
            <w:tcW w:w="486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5A718E5D" w14:textId="77777777" w:rsidR="001E4DF4" w:rsidRDefault="00413E94">
            <w:pPr>
              <w:spacing w:line="252" w:lineRule="auto"/>
            </w:pPr>
            <w:r>
              <w:rPr>
                <w:b/>
                <w:bCs/>
                <w:color w:val="D4A84B"/>
                <w:sz w:val="20"/>
                <w:szCs w:val="20"/>
              </w:rPr>
              <w:t>Criteria</w:t>
            </w:r>
          </w:p>
        </w:tc>
        <w:tc>
          <w:tcPr>
            <w:tcW w:w="28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516F7D72" w14:textId="77777777" w:rsidR="001E4DF4" w:rsidRDefault="00413E94">
            <w:pPr>
              <w:spacing w:line="252" w:lineRule="auto"/>
            </w:pPr>
            <w:r>
              <w:rPr>
                <w:b/>
                <w:bCs/>
                <w:color w:val="D4A84B"/>
                <w:sz w:val="20"/>
                <w:szCs w:val="20"/>
              </w:rPr>
              <w:t>Client-Confidential Data?</w:t>
            </w:r>
          </w:p>
        </w:tc>
      </w:tr>
      <w:tr w:rsidR="001E4DF4" w14:paraId="396D00E5" w14:textId="77777777">
        <w:tblPrEx>
          <w:tblCellMar>
            <w:top w:w="0" w:type="dxa"/>
            <w:bottom w:w="0" w:type="dxa"/>
          </w:tblCellMar>
        </w:tblPrEx>
        <w:tc>
          <w:tcPr>
            <w:tcW w:w="17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69B861FB" w14:textId="77777777" w:rsidR="001E4DF4" w:rsidRDefault="00413E94">
            <w:pPr>
              <w:spacing w:line="252" w:lineRule="auto"/>
            </w:pPr>
            <w:r>
              <w:rPr>
                <w:b/>
                <w:bCs/>
                <w:color w:val="1E1E1E"/>
                <w:sz w:val="19"/>
                <w:szCs w:val="19"/>
              </w:rPr>
              <w:t>APPROVED</w:t>
            </w:r>
          </w:p>
        </w:tc>
        <w:tc>
          <w:tcPr>
            <w:tcW w:w="48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6193CA6D" w14:textId="77777777" w:rsidR="001E4DF4" w:rsidRDefault="00413E94">
            <w:pPr>
              <w:spacing w:line="252" w:lineRule="auto"/>
            </w:pPr>
            <w:r>
              <w:rPr>
                <w:sz w:val="19"/>
                <w:szCs w:val="19"/>
              </w:rPr>
              <w:t>Enterprise/business agreement in place; no training on our inputs; encryption in transit and at rest; documented retention; DPA/BAA where applicable.</w:t>
            </w:r>
          </w:p>
        </w:tc>
        <w:tc>
          <w:tcPr>
            <w:tcW w:w="28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7DC9952E" w14:textId="2C4BA6B6" w:rsidR="001E4DF4" w:rsidRDefault="00413E94">
            <w:pPr>
              <w:spacing w:line="252" w:lineRule="auto"/>
            </w:pPr>
            <w:r>
              <w:rPr>
                <w:sz w:val="19"/>
                <w:szCs w:val="19"/>
              </w:rPr>
              <w:t>YES</w:t>
            </w:r>
            <w:r w:rsidR="007A68A9">
              <w:rPr>
                <w:sz w:val="19"/>
                <w:szCs w:val="19"/>
              </w:rPr>
              <w:t xml:space="preserve"> - </w:t>
            </w:r>
            <w:r>
              <w:rPr>
                <w:sz w:val="19"/>
                <w:szCs w:val="19"/>
              </w:rPr>
              <w:t>subject to the HI Step and data classification in Section VI.</w:t>
            </w:r>
          </w:p>
        </w:tc>
      </w:tr>
      <w:tr w:rsidR="001E4DF4" w14:paraId="45DEEB04" w14:textId="77777777">
        <w:tblPrEx>
          <w:tblCellMar>
            <w:top w:w="0" w:type="dxa"/>
            <w:bottom w:w="0" w:type="dxa"/>
          </w:tblCellMar>
        </w:tblPrEx>
        <w:tc>
          <w:tcPr>
            <w:tcW w:w="17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25C81C59" w14:textId="77777777" w:rsidR="001E4DF4" w:rsidRDefault="00413E94">
            <w:pPr>
              <w:spacing w:line="252" w:lineRule="auto"/>
            </w:pPr>
            <w:r>
              <w:rPr>
                <w:b/>
                <w:bCs/>
                <w:color w:val="1E1E1E"/>
                <w:sz w:val="19"/>
                <w:szCs w:val="19"/>
              </w:rPr>
              <w:t>CONDITIONAL</w:t>
            </w:r>
          </w:p>
        </w:tc>
        <w:tc>
          <w:tcPr>
            <w:tcW w:w="48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8F43CEE" w14:textId="77777777" w:rsidR="001E4DF4" w:rsidRDefault="00413E94">
            <w:pPr>
              <w:spacing w:line="252" w:lineRule="auto"/>
            </w:pPr>
            <w:r>
              <w:rPr>
                <w:sz w:val="19"/>
                <w:szCs w:val="19"/>
              </w:rPr>
              <w:t>Consumer/free tier; training opt-out available but not contractually guaranteed; no enterprise terms.</w:t>
            </w:r>
          </w:p>
        </w:tc>
        <w:tc>
          <w:tcPr>
            <w:tcW w:w="28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1CD22B96" w14:textId="77777777" w:rsidR="001E4DF4" w:rsidRDefault="00413E94">
            <w:pPr>
              <w:spacing w:line="252" w:lineRule="auto"/>
            </w:pPr>
            <w:r>
              <w:rPr>
                <w:sz w:val="19"/>
                <w:szCs w:val="19"/>
              </w:rPr>
              <w:t>NO. Anonymized or hypothetical inputs only. No client or proprietary data.</w:t>
            </w:r>
          </w:p>
        </w:tc>
      </w:tr>
      <w:tr w:rsidR="001E4DF4" w14:paraId="0CA2C823" w14:textId="77777777">
        <w:tblPrEx>
          <w:tblCellMar>
            <w:top w:w="0" w:type="dxa"/>
            <w:bottom w:w="0" w:type="dxa"/>
          </w:tblCellMar>
        </w:tblPrEx>
        <w:tc>
          <w:tcPr>
            <w:tcW w:w="170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13EAC3E9" w14:textId="77777777" w:rsidR="001E4DF4" w:rsidRDefault="00413E94">
            <w:pPr>
              <w:spacing w:line="252" w:lineRule="auto"/>
            </w:pPr>
            <w:r>
              <w:rPr>
                <w:b/>
                <w:bCs/>
                <w:color w:val="D4A84B"/>
                <w:sz w:val="19"/>
                <w:szCs w:val="19"/>
              </w:rPr>
              <w:t>PROHIBITED</w:t>
            </w:r>
          </w:p>
        </w:tc>
        <w:tc>
          <w:tcPr>
            <w:tcW w:w="48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306A71C0" w14:textId="77777777" w:rsidR="001E4DF4" w:rsidRDefault="00413E94">
            <w:pPr>
              <w:spacing w:line="252" w:lineRule="auto"/>
            </w:pPr>
            <w:r>
              <w:rPr>
                <w:sz w:val="19"/>
                <w:szCs w:val="19"/>
              </w:rPr>
              <w:t>Unclear retention or ownership; trains on all inputs; no confidentiality protection; unknown jurisdiction.</w:t>
            </w:r>
          </w:p>
        </w:tc>
        <w:tc>
          <w:tcPr>
            <w:tcW w:w="28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7E9A9DC0" w14:textId="68971E92" w:rsidR="001E4DF4" w:rsidRDefault="00413E94">
            <w:pPr>
              <w:spacing w:line="252" w:lineRule="auto"/>
            </w:pPr>
            <w:r>
              <w:rPr>
                <w:sz w:val="19"/>
                <w:szCs w:val="19"/>
              </w:rPr>
              <w:t>NEVER</w:t>
            </w:r>
            <w:r w:rsidR="007A68A9">
              <w:rPr>
                <w:sz w:val="19"/>
                <w:szCs w:val="19"/>
              </w:rPr>
              <w:t xml:space="preserve"> - </w:t>
            </w:r>
            <w:r>
              <w:rPr>
                <w:sz w:val="19"/>
                <w:szCs w:val="19"/>
              </w:rPr>
              <w:t>for any purpose.</w:t>
            </w:r>
          </w:p>
        </w:tc>
      </w:tr>
    </w:tbl>
    <w:p w14:paraId="5BE4A414" w14:textId="77777777" w:rsidR="001E4DF4" w:rsidRDefault="00413E94">
      <w:pPr>
        <w:pStyle w:val="Heading2"/>
      </w:pPr>
      <w:r>
        <w:t>B.  New-Tool Request Workflow</w:t>
      </w:r>
    </w:p>
    <w:p w14:paraId="6D778A66" w14:textId="32904E41" w:rsidR="001E4DF4" w:rsidRDefault="00413E94">
      <w:pPr>
        <w:spacing w:after="140" w:line="276" w:lineRule="auto"/>
      </w:pPr>
      <w:r>
        <w:t>Before any new AI tool is used for NURO work, it must be requested and approved. This is the single most important control against shadow AI</w:t>
      </w:r>
      <w:r w:rsidR="007A68A9">
        <w:t xml:space="preserve"> - </w:t>
      </w:r>
      <w:r>
        <w:t>it gives the team a fast, legitimate path instead of an unsanctioned one.</w:t>
      </w:r>
    </w:p>
    <w:p w14:paraId="1E0563EB" w14:textId="77777777" w:rsidR="001E4DF4" w:rsidRDefault="00413E94">
      <w:pPr>
        <w:pStyle w:val="ListParagraph"/>
        <w:numPr>
          <w:ilvl w:val="0"/>
          <w:numId w:val="3"/>
        </w:numPr>
        <w:spacing w:after="80" w:line="268" w:lineRule="auto"/>
      </w:pPr>
      <w:r>
        <w:t>Submit a request to the CAIO/delegate naming the tool, the intended use, and the data it would touch.</w:t>
      </w:r>
    </w:p>
    <w:p w14:paraId="4FD6E166" w14:textId="77777777" w:rsidR="001E4DF4" w:rsidRDefault="00413E94">
      <w:pPr>
        <w:pStyle w:val="ListParagraph"/>
        <w:numPr>
          <w:ilvl w:val="0"/>
          <w:numId w:val="3"/>
        </w:numPr>
        <w:spacing w:after="80" w:line="268" w:lineRule="auto"/>
      </w:pPr>
      <w:r>
        <w:t>The reviewer completes the Platform Risk Assessment (Section VI.A) and assigns a tier.</w:t>
      </w:r>
    </w:p>
    <w:p w14:paraId="0191D449" w14:textId="77777777" w:rsidR="001E4DF4" w:rsidRDefault="00413E94">
      <w:pPr>
        <w:pStyle w:val="ListParagraph"/>
        <w:numPr>
          <w:ilvl w:val="0"/>
          <w:numId w:val="3"/>
        </w:numPr>
        <w:spacing w:after="80" w:line="268" w:lineRule="auto"/>
      </w:pPr>
      <w:r>
        <w:t>Approved tools are added to the Approved Tool List with their tier and any data conditions.</w:t>
      </w:r>
    </w:p>
    <w:p w14:paraId="528999E8" w14:textId="77777777" w:rsidR="001E4DF4" w:rsidRDefault="00413E94">
      <w:pPr>
        <w:pStyle w:val="ListParagraph"/>
        <w:numPr>
          <w:ilvl w:val="0"/>
          <w:numId w:val="3"/>
        </w:numPr>
        <w:spacing w:after="80" w:line="268" w:lineRule="auto"/>
      </w:pPr>
      <w:r>
        <w:t>Decisions are returned quickly. Speed of approval is itself a control: slow approval recreates shadow AI.</w:t>
      </w:r>
    </w:p>
    <w:p w14:paraId="03E24BA1" w14:textId="3858F294" w:rsidR="001E4DF4" w:rsidRDefault="00413E94">
      <w:pPr>
        <w:pStyle w:val="Heading2"/>
      </w:pPr>
      <w:r>
        <w:t>C.  Shadow AI</w:t>
      </w:r>
      <w:r w:rsidR="007A68A9">
        <w:t xml:space="preserve"> - </w:t>
      </w:r>
      <w:r>
        <w:t>Prohibited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E4DF4" w14:paraId="1A008CB2" w14:textId="77777777">
        <w:tblPrEx>
          <w:tblCellMar>
            <w:top w:w="0" w:type="dxa"/>
            <w:bottom w:w="0" w:type="dxa"/>
          </w:tblCellMar>
        </w:tblPrEx>
        <w:tc>
          <w:tcPr>
            <w:tcW w:w="9360" w:type="dxa"/>
            <w:tcBorders>
              <w:top w:val="single" w:sz="2" w:space="0" w:color="EFEBE0"/>
              <w:left w:val="single" w:sz="24" w:space="0" w:color="1E1E1E"/>
              <w:bottom w:val="single" w:sz="2" w:space="0" w:color="EFEBE0"/>
              <w:right w:val="single" w:sz="2" w:space="0" w:color="EFEBE0"/>
            </w:tcBorders>
            <w:shd w:val="clear" w:color="auto" w:fill="EFEBE0"/>
            <w:tcMar>
              <w:top w:w="140" w:type="dxa"/>
              <w:left w:w="200" w:type="dxa"/>
              <w:bottom w:w="140" w:type="dxa"/>
              <w:right w:w="180" w:type="dxa"/>
            </w:tcMar>
          </w:tcPr>
          <w:p w14:paraId="1B7BFF1C" w14:textId="77777777" w:rsidR="001E4DF4" w:rsidRDefault="00413E94">
            <w:pPr>
              <w:spacing w:after="100"/>
            </w:pPr>
            <w:r>
              <w:rPr>
                <w:b/>
                <w:bCs/>
                <w:color w:val="1E1E1E"/>
              </w:rPr>
              <w:t>Shadow AI Is Prohibited</w:t>
            </w:r>
          </w:p>
          <w:p w14:paraId="7EF6A1AC" w14:textId="77777777" w:rsidR="001E4DF4" w:rsidRDefault="00413E94">
            <w:pPr>
              <w:spacing w:after="70" w:line="264" w:lineRule="auto"/>
            </w:pPr>
            <w:r>
              <w:rPr>
                <w:sz w:val="20"/>
                <w:szCs w:val="20"/>
              </w:rPr>
              <w:t>Using any AI tool for NURO work that has not been approved under this Section is a policy violation, even when well-intentioned and even when the output looks correct.</w:t>
            </w:r>
          </w:p>
          <w:p w14:paraId="56A52EC8" w14:textId="77777777" w:rsidR="001E4DF4" w:rsidRDefault="00413E94">
            <w:pPr>
              <w:spacing w:after="70" w:line="264" w:lineRule="auto"/>
            </w:pPr>
            <w:r>
              <w:rPr>
                <w:sz w:val="20"/>
                <w:szCs w:val="20"/>
              </w:rPr>
              <w:t xml:space="preserve">If you are mid-task and realize a tool is not on the Approved List, stop using it for NURO data and submit a request. Uncertainty defaults </w:t>
            </w:r>
            <w:proofErr w:type="gramStart"/>
            <w:r>
              <w:rPr>
                <w:sz w:val="20"/>
                <w:szCs w:val="20"/>
              </w:rPr>
              <w:t>to:</w:t>
            </w:r>
            <w:proofErr w:type="gramEnd"/>
            <w:r>
              <w:rPr>
                <w:sz w:val="20"/>
                <w:szCs w:val="20"/>
              </w:rPr>
              <w:t xml:space="preserve"> ask first.</w:t>
            </w:r>
          </w:p>
        </w:tc>
      </w:tr>
    </w:tbl>
    <w:p w14:paraId="22223A92" w14:textId="77777777" w:rsidR="001E4DF4" w:rsidRDefault="00413E94">
      <w:pPr>
        <w:pStyle w:val="Heading2"/>
      </w:pPr>
      <w:r>
        <w:t>D.  Access &amp; Account Hygiene</w:t>
      </w:r>
    </w:p>
    <w:p w14:paraId="162DA578" w14:textId="77777777" w:rsidR="001E4DF4" w:rsidRDefault="00413E94">
      <w:pPr>
        <w:pStyle w:val="ListParagraph"/>
        <w:numPr>
          <w:ilvl w:val="0"/>
          <w:numId w:val="2"/>
        </w:numPr>
        <w:spacing w:after="80" w:line="268" w:lineRule="auto"/>
      </w:pPr>
      <w:r>
        <w:t>AI tools are accessed through NURO-managed accounts, not personal logins, wherever an enterprise tier exists.</w:t>
      </w:r>
    </w:p>
    <w:p w14:paraId="7031A96F" w14:textId="1CB303A9" w:rsidR="001E4DF4" w:rsidRDefault="00413E94">
      <w:pPr>
        <w:pStyle w:val="ListParagraph"/>
        <w:numPr>
          <w:ilvl w:val="0"/>
          <w:numId w:val="2"/>
        </w:numPr>
        <w:spacing w:after="80" w:line="268" w:lineRule="auto"/>
      </w:pPr>
      <w:r>
        <w:t>API keys, model credentials, and integration secrets are stored in the managed secrets manager (Doppler)</w:t>
      </w:r>
      <w:r w:rsidR="007A68A9">
        <w:t xml:space="preserve"> - </w:t>
      </w:r>
      <w:r>
        <w:t>never in code, chat, prompts, or shared documents.</w:t>
      </w:r>
    </w:p>
    <w:p w14:paraId="3C3DF40C" w14:textId="77777777" w:rsidR="001E4DF4" w:rsidRDefault="00413E94">
      <w:pPr>
        <w:pStyle w:val="ListParagraph"/>
        <w:numPr>
          <w:ilvl w:val="0"/>
          <w:numId w:val="2"/>
        </w:numPr>
        <w:spacing w:after="80" w:line="268" w:lineRule="auto"/>
      </w:pPr>
      <w:r>
        <w:t>Access to AI systems and client data follows least privilege: people and agents get the minimum access needed, and access is removed at offboarding.</w:t>
      </w:r>
    </w:p>
    <w:p w14:paraId="2FC8396A" w14:textId="77777777" w:rsidR="001E4DF4" w:rsidRDefault="00413E94">
      <w:pPr>
        <w:pStyle w:val="Heading1"/>
        <w:pBdr>
          <w:bottom w:val="single" w:sz="14" w:space="6" w:color="D4A84B"/>
        </w:pBdr>
      </w:pPr>
      <w:bookmarkStart w:id="5" w:name="_Toc232761861"/>
      <w:r>
        <w:rPr>
          <w:color w:val="A8842F"/>
        </w:rPr>
        <w:t xml:space="preserve">VI.  </w:t>
      </w:r>
      <w:r>
        <w:t>Data Handling &amp; Confidentiality</w:t>
      </w:r>
      <w:bookmarkEnd w:id="5"/>
    </w:p>
    <w:p w14:paraId="2F4F752B" w14:textId="0E2AA8B8" w:rsidR="001E4DF4" w:rsidRDefault="00413E94">
      <w:pPr>
        <w:pStyle w:val="Heading2"/>
      </w:pPr>
      <w:r>
        <w:t>A.  Platform Risk Assessment</w:t>
      </w:r>
      <w:r w:rsidR="007A68A9">
        <w:t xml:space="preserve"> - </w:t>
      </w:r>
      <w:r>
        <w:t>Before First Use</w:t>
      </w:r>
    </w:p>
    <w:p w14:paraId="164ECE69" w14:textId="77777777" w:rsidR="001E4DF4" w:rsidRDefault="00413E94">
      <w:pPr>
        <w:spacing w:after="140" w:line="276" w:lineRule="auto"/>
      </w:pPr>
      <w:r>
        <w:t>Before any AI tool touches a client matter, the reviewer assesses and records:</w:t>
      </w:r>
    </w:p>
    <w:p w14:paraId="6851592D" w14:textId="77777777" w:rsidR="001E4DF4" w:rsidRDefault="00413E94">
      <w:pPr>
        <w:pStyle w:val="ListParagraph"/>
        <w:numPr>
          <w:ilvl w:val="0"/>
          <w:numId w:val="2"/>
        </w:numPr>
        <w:spacing w:after="80" w:line="268" w:lineRule="auto"/>
      </w:pPr>
      <w:r>
        <w:t>Whether inputs are retained after the session, for how long, and how they are purged.</w:t>
      </w:r>
    </w:p>
    <w:p w14:paraId="13D6F4AF" w14:textId="77777777" w:rsidR="001E4DF4" w:rsidRDefault="00413E94">
      <w:pPr>
        <w:pStyle w:val="ListParagraph"/>
        <w:numPr>
          <w:ilvl w:val="0"/>
          <w:numId w:val="2"/>
        </w:numPr>
        <w:spacing w:after="80" w:line="268" w:lineRule="auto"/>
      </w:pPr>
      <w:r>
        <w:t>Whether inputs are used to train or fine-tune the model, and whether opt-out is contractual.</w:t>
      </w:r>
    </w:p>
    <w:p w14:paraId="38758F2D" w14:textId="77777777" w:rsidR="001E4DF4" w:rsidRDefault="00413E94">
      <w:pPr>
        <w:pStyle w:val="ListParagraph"/>
        <w:numPr>
          <w:ilvl w:val="0"/>
          <w:numId w:val="2"/>
        </w:numPr>
        <w:spacing w:after="80" w:line="268" w:lineRule="auto"/>
      </w:pPr>
      <w:r>
        <w:t>Whether a DPA/BAA or enterprise confidentiality terms are in place.</w:t>
      </w:r>
    </w:p>
    <w:p w14:paraId="110294A1" w14:textId="77777777" w:rsidR="001E4DF4" w:rsidRDefault="00413E94">
      <w:pPr>
        <w:pStyle w:val="ListParagraph"/>
        <w:numPr>
          <w:ilvl w:val="0"/>
          <w:numId w:val="2"/>
        </w:numPr>
        <w:spacing w:after="80" w:line="268" w:lineRule="auto"/>
      </w:pPr>
      <w:r>
        <w:t>Encryption in transit and at rest; security posture (SOC 2 / ISO 27001 / ISO 42001 where available).</w:t>
      </w:r>
    </w:p>
    <w:p w14:paraId="2B0CB1D1" w14:textId="77777777" w:rsidR="001E4DF4" w:rsidRDefault="00413E94">
      <w:pPr>
        <w:pStyle w:val="ListParagraph"/>
        <w:numPr>
          <w:ilvl w:val="0"/>
          <w:numId w:val="2"/>
        </w:numPr>
        <w:spacing w:after="80" w:line="268" w:lineRule="auto"/>
      </w:pPr>
      <w:r>
        <w:t>Data residency / jurisdiction of stored data.</w:t>
      </w:r>
    </w:p>
    <w:p w14:paraId="210E63C9" w14:textId="77777777" w:rsidR="001E4DF4" w:rsidRDefault="00413E94">
      <w:pPr>
        <w:pStyle w:val="Heading2"/>
      </w:pPr>
      <w:r>
        <w:t>B.  Data Classification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4360"/>
        <w:gridCol w:w="2900"/>
      </w:tblGrid>
      <w:tr w:rsidR="001E4DF4" w14:paraId="0A503366" w14:textId="77777777">
        <w:tblPrEx>
          <w:tblCellMar>
            <w:top w:w="0" w:type="dxa"/>
            <w:bottom w:w="0" w:type="dxa"/>
          </w:tblCellMar>
        </w:tblPrEx>
        <w:trPr>
          <w:tblHeader/>
        </w:trPr>
        <w:tc>
          <w:tcPr>
            <w:tcW w:w="21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4016ED16" w14:textId="77777777" w:rsidR="001E4DF4" w:rsidRDefault="00413E94">
            <w:pPr>
              <w:spacing w:line="252" w:lineRule="auto"/>
            </w:pPr>
            <w:r>
              <w:rPr>
                <w:b/>
                <w:bCs/>
                <w:color w:val="D4A84B"/>
                <w:sz w:val="20"/>
                <w:szCs w:val="20"/>
              </w:rPr>
              <w:t>Class</w:t>
            </w:r>
          </w:p>
        </w:tc>
        <w:tc>
          <w:tcPr>
            <w:tcW w:w="436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4A924161" w14:textId="77777777" w:rsidR="001E4DF4" w:rsidRDefault="00413E94">
            <w:pPr>
              <w:spacing w:line="252" w:lineRule="auto"/>
            </w:pPr>
            <w:r>
              <w:rPr>
                <w:b/>
                <w:bCs/>
                <w:color w:val="D4A84B"/>
                <w:sz w:val="20"/>
                <w:szCs w:val="20"/>
              </w:rPr>
              <w:t>Examples</w:t>
            </w:r>
          </w:p>
        </w:tc>
        <w:tc>
          <w:tcPr>
            <w:tcW w:w="29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67E2FEA7" w14:textId="77777777" w:rsidR="001E4DF4" w:rsidRDefault="00413E94">
            <w:pPr>
              <w:spacing w:line="252" w:lineRule="auto"/>
            </w:pPr>
            <w:r>
              <w:rPr>
                <w:b/>
                <w:bCs/>
                <w:color w:val="D4A84B"/>
                <w:sz w:val="20"/>
                <w:szCs w:val="20"/>
              </w:rPr>
              <w:t>AI Handling Rule</w:t>
            </w:r>
          </w:p>
        </w:tc>
      </w:tr>
      <w:tr w:rsidR="001E4DF4" w14:paraId="0092C04D" w14:textId="77777777">
        <w:tblPrEx>
          <w:tblCellMar>
            <w:top w:w="0" w:type="dxa"/>
            <w:bottom w:w="0" w:type="dxa"/>
          </w:tblCellMar>
        </w:tblPrEx>
        <w:tc>
          <w:tcPr>
            <w:tcW w:w="21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41D084A8" w14:textId="77777777" w:rsidR="001E4DF4" w:rsidRDefault="00413E94">
            <w:pPr>
              <w:spacing w:line="252" w:lineRule="auto"/>
            </w:pPr>
            <w:r>
              <w:rPr>
                <w:b/>
                <w:bCs/>
                <w:color w:val="1E1E1E"/>
                <w:sz w:val="19"/>
                <w:szCs w:val="19"/>
              </w:rPr>
              <w:t>PUBLIC</w:t>
            </w:r>
          </w:p>
        </w:tc>
        <w:tc>
          <w:tcPr>
            <w:tcW w:w="4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777DE823" w14:textId="77777777" w:rsidR="001E4DF4" w:rsidRDefault="00413E94">
            <w:pPr>
              <w:spacing w:line="252" w:lineRule="auto"/>
            </w:pPr>
            <w:r>
              <w:rPr>
                <w:sz w:val="19"/>
                <w:szCs w:val="19"/>
              </w:rPr>
              <w:t>Published marketing, public web content, NURO brand materials.</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343F6F04" w14:textId="77777777" w:rsidR="001E4DF4" w:rsidRDefault="00413E94">
            <w:pPr>
              <w:spacing w:line="252" w:lineRule="auto"/>
            </w:pPr>
            <w:r>
              <w:rPr>
                <w:sz w:val="19"/>
                <w:szCs w:val="19"/>
              </w:rPr>
              <w:t>Any approved or conditional tool.</w:t>
            </w:r>
          </w:p>
        </w:tc>
      </w:tr>
      <w:tr w:rsidR="001E4DF4" w14:paraId="0C464D90" w14:textId="77777777">
        <w:tblPrEx>
          <w:tblCellMar>
            <w:top w:w="0" w:type="dxa"/>
            <w:bottom w:w="0" w:type="dxa"/>
          </w:tblCellMar>
        </w:tblPrEx>
        <w:tc>
          <w:tcPr>
            <w:tcW w:w="21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18E80744" w14:textId="77777777" w:rsidR="001E4DF4" w:rsidRDefault="00413E94">
            <w:pPr>
              <w:spacing w:line="252" w:lineRule="auto"/>
            </w:pPr>
            <w:r>
              <w:rPr>
                <w:b/>
                <w:bCs/>
                <w:color w:val="1E1E1E"/>
                <w:sz w:val="19"/>
                <w:szCs w:val="19"/>
              </w:rPr>
              <w:t>INTERNAL</w:t>
            </w:r>
          </w:p>
        </w:tc>
        <w:tc>
          <w:tcPr>
            <w:tcW w:w="4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186B8583" w14:textId="77777777" w:rsidR="001E4DF4" w:rsidRDefault="00413E94">
            <w:pPr>
              <w:spacing w:line="252" w:lineRule="auto"/>
            </w:pPr>
            <w:r>
              <w:rPr>
                <w:sz w:val="19"/>
                <w:szCs w:val="19"/>
              </w:rPr>
              <w:t>Internal drafts, non-sensitive process docs, general code.</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6FEDAE58" w14:textId="77777777" w:rsidR="001E4DF4" w:rsidRDefault="00413E94">
            <w:pPr>
              <w:spacing w:line="252" w:lineRule="auto"/>
            </w:pPr>
            <w:r>
              <w:rPr>
                <w:sz w:val="19"/>
                <w:szCs w:val="19"/>
              </w:rPr>
              <w:t>Approved tools; conditional tools only if no sensitive detail.</w:t>
            </w:r>
          </w:p>
        </w:tc>
      </w:tr>
      <w:tr w:rsidR="001E4DF4" w14:paraId="315EF62E" w14:textId="77777777">
        <w:tblPrEx>
          <w:tblCellMar>
            <w:top w:w="0" w:type="dxa"/>
            <w:bottom w:w="0" w:type="dxa"/>
          </w:tblCellMar>
        </w:tblPrEx>
        <w:tc>
          <w:tcPr>
            <w:tcW w:w="21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001A321B" w14:textId="77777777" w:rsidR="001E4DF4" w:rsidRDefault="00413E94">
            <w:pPr>
              <w:spacing w:line="252" w:lineRule="auto"/>
            </w:pPr>
            <w:r>
              <w:rPr>
                <w:b/>
                <w:bCs/>
                <w:color w:val="1E1E1E"/>
                <w:sz w:val="19"/>
                <w:szCs w:val="19"/>
              </w:rPr>
              <w:t>CLIENT-CONFIDENTIAL</w:t>
            </w:r>
          </w:p>
        </w:tc>
        <w:tc>
          <w:tcPr>
            <w:tcW w:w="4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800F068" w14:textId="7A91F989" w:rsidR="001E4DF4" w:rsidRDefault="00413E94">
            <w:pPr>
              <w:spacing w:line="252" w:lineRule="auto"/>
            </w:pPr>
            <w:r>
              <w:rPr>
                <w:sz w:val="19"/>
                <w:szCs w:val="19"/>
              </w:rPr>
              <w:t xml:space="preserve">CRE owner records, </w:t>
            </w:r>
            <w:r>
              <w:rPr>
                <w:sz w:val="19"/>
                <w:szCs w:val="19"/>
              </w:rPr>
              <w:t>financials, client contact data, case facts, contracts.</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27137AE9" w14:textId="77777777" w:rsidR="001E4DF4" w:rsidRDefault="00413E94">
            <w:pPr>
              <w:spacing w:line="252" w:lineRule="auto"/>
            </w:pPr>
            <w:r>
              <w:rPr>
                <w:sz w:val="19"/>
                <w:szCs w:val="19"/>
              </w:rPr>
              <w:t>APPROVED tools only, with enterprise/no-training terms. Never conditional or prohibited tools.</w:t>
            </w:r>
          </w:p>
        </w:tc>
      </w:tr>
      <w:tr w:rsidR="001E4DF4" w14:paraId="254C650A" w14:textId="77777777">
        <w:tblPrEx>
          <w:tblCellMar>
            <w:top w:w="0" w:type="dxa"/>
            <w:bottom w:w="0" w:type="dxa"/>
          </w:tblCellMar>
        </w:tblPrEx>
        <w:tc>
          <w:tcPr>
            <w:tcW w:w="210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2317207C" w14:textId="77777777" w:rsidR="001E4DF4" w:rsidRDefault="00413E94">
            <w:pPr>
              <w:spacing w:line="252" w:lineRule="auto"/>
            </w:pPr>
            <w:r>
              <w:rPr>
                <w:b/>
                <w:bCs/>
                <w:color w:val="D4A84B"/>
                <w:sz w:val="19"/>
                <w:szCs w:val="19"/>
              </w:rPr>
              <w:t>REGULATED / PII</w:t>
            </w:r>
          </w:p>
        </w:tc>
        <w:tc>
          <w:tcPr>
            <w:tcW w:w="4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4946081B" w14:textId="77777777" w:rsidR="001E4DF4" w:rsidRDefault="00413E94">
            <w:pPr>
              <w:spacing w:line="252" w:lineRule="auto"/>
            </w:pPr>
            <w:r>
              <w:rPr>
                <w:sz w:val="19"/>
                <w:szCs w:val="19"/>
              </w:rPr>
              <w:t>SSNs, financial account data, medical/financial records, sealed or NDA-bound information.</w:t>
            </w:r>
          </w:p>
        </w:tc>
        <w:tc>
          <w:tcPr>
            <w:tcW w:w="29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1EB1C7D8" w14:textId="77777777" w:rsidR="001E4DF4" w:rsidRDefault="00413E94">
            <w:pPr>
              <w:spacing w:line="252" w:lineRule="auto"/>
            </w:pPr>
            <w:r>
              <w:rPr>
                <w:sz w:val="19"/>
                <w:szCs w:val="19"/>
              </w:rPr>
              <w:t>Approved tools with DPA/BAA + explicit authorization only. Minimize and de-identify wherever possible.</w:t>
            </w:r>
          </w:p>
        </w:tc>
      </w:tr>
    </w:tbl>
    <w:p w14:paraId="7ECCF39D" w14:textId="77777777" w:rsidR="001E4DF4" w:rsidRDefault="00413E94">
      <w:pPr>
        <w:pStyle w:val="Heading2"/>
      </w:pPr>
      <w:r>
        <w:t>C.  Absolute Data Restrictions</w:t>
      </w:r>
    </w:p>
    <w:p w14:paraId="17AADD13" w14:textId="77777777" w:rsidR="001E4DF4" w:rsidRDefault="00413E94">
      <w:pPr>
        <w:spacing w:after="140" w:line="276" w:lineRule="auto"/>
      </w:pPr>
      <w:r>
        <w:t>Absent enterprise-level contractual confidentiality protections, the following must NEVER be entered into any AI tool, prompt, or agent:</w:t>
      </w:r>
    </w:p>
    <w:p w14:paraId="10EFF24E" w14:textId="77777777" w:rsidR="001E4DF4" w:rsidRDefault="00413E94">
      <w:pPr>
        <w:spacing w:after="60" w:line="260" w:lineRule="auto"/>
        <w:ind w:left="200"/>
      </w:pPr>
      <w:r>
        <w:rPr>
          <w:b/>
          <w:bCs/>
          <w:color w:val="1E1E1E"/>
        </w:rPr>
        <w:t>✗</w:t>
      </w:r>
      <w:r>
        <w:rPr>
          <w:b/>
          <w:bCs/>
          <w:color w:val="1E1E1E"/>
        </w:rPr>
        <w:t xml:space="preserve">  </w:t>
      </w:r>
      <w:r>
        <w:rPr>
          <w:sz w:val="20"/>
          <w:szCs w:val="20"/>
        </w:rPr>
        <w:t>Client names, contact details, or any personally identifiable information.</w:t>
      </w:r>
    </w:p>
    <w:p w14:paraId="602F49FD" w14:textId="77777777" w:rsidR="001E4DF4" w:rsidRDefault="00413E94">
      <w:pPr>
        <w:spacing w:after="60" w:line="260" w:lineRule="auto"/>
        <w:ind w:left="200"/>
      </w:pPr>
      <w:r>
        <w:rPr>
          <w:b/>
          <w:bCs/>
          <w:color w:val="1E1E1E"/>
        </w:rPr>
        <w:t>✗</w:t>
      </w:r>
      <w:r>
        <w:rPr>
          <w:b/>
          <w:bCs/>
          <w:color w:val="1E1E1E"/>
        </w:rPr>
        <w:t xml:space="preserve">  </w:t>
      </w:r>
      <w:r>
        <w:rPr>
          <w:sz w:val="20"/>
          <w:szCs w:val="20"/>
        </w:rPr>
        <w:t>Financial account numbers, SSNs, EINs, loan numbers, or claim identifiers.</w:t>
      </w:r>
    </w:p>
    <w:p w14:paraId="11365CD5" w14:textId="389F50D8" w:rsidR="001E4DF4" w:rsidRDefault="00413E94">
      <w:pPr>
        <w:spacing w:after="60" w:line="260" w:lineRule="auto"/>
        <w:ind w:left="200"/>
      </w:pPr>
      <w:r>
        <w:rPr>
          <w:b/>
          <w:bCs/>
          <w:color w:val="1E1E1E"/>
        </w:rPr>
        <w:t>✗</w:t>
      </w:r>
      <w:r>
        <w:rPr>
          <w:b/>
          <w:bCs/>
          <w:color w:val="1E1E1E"/>
        </w:rPr>
        <w:t xml:space="preserve">  </w:t>
      </w:r>
      <w:r w:rsidR="005E7114">
        <w:rPr>
          <w:sz w:val="20"/>
          <w:szCs w:val="20"/>
        </w:rPr>
        <w:t>C</w:t>
      </w:r>
      <w:r>
        <w:rPr>
          <w:sz w:val="20"/>
          <w:szCs w:val="20"/>
        </w:rPr>
        <w:t>lient financial records and case facts tied to an identifiable party.</w:t>
      </w:r>
    </w:p>
    <w:p w14:paraId="6D941CC3" w14:textId="77777777" w:rsidR="001E4DF4" w:rsidRDefault="00413E94">
      <w:pPr>
        <w:spacing w:after="60" w:line="260" w:lineRule="auto"/>
        <w:ind w:left="200"/>
      </w:pPr>
      <w:r>
        <w:rPr>
          <w:b/>
          <w:bCs/>
          <w:color w:val="1E1E1E"/>
        </w:rPr>
        <w:t>✗</w:t>
      </w:r>
      <w:r>
        <w:rPr>
          <w:b/>
          <w:bCs/>
          <w:color w:val="1E1E1E"/>
        </w:rPr>
        <w:t xml:space="preserve">  </w:t>
      </w:r>
      <w:r>
        <w:rPr>
          <w:sz w:val="20"/>
          <w:szCs w:val="20"/>
        </w:rPr>
        <w:t>Trade secrets, proprietary NURO IP (scoring logic, thresholds, model prompts), or confidential client business data.</w:t>
      </w:r>
    </w:p>
    <w:p w14:paraId="66204652" w14:textId="77777777" w:rsidR="001E4DF4" w:rsidRDefault="00413E94">
      <w:pPr>
        <w:spacing w:after="60" w:line="260" w:lineRule="auto"/>
        <w:ind w:left="200"/>
      </w:pPr>
      <w:r>
        <w:rPr>
          <w:b/>
          <w:bCs/>
          <w:color w:val="1E1E1E"/>
        </w:rPr>
        <w:t>✗</w:t>
      </w:r>
      <w:r>
        <w:rPr>
          <w:b/>
          <w:bCs/>
          <w:color w:val="1E1E1E"/>
        </w:rPr>
        <w:t xml:space="preserve">  </w:t>
      </w:r>
      <w:r>
        <w:rPr>
          <w:sz w:val="20"/>
          <w:szCs w:val="20"/>
        </w:rPr>
        <w:t>Anything under court seal, NDA, or other confidentiality obligation.</w:t>
      </w:r>
    </w:p>
    <w:p w14:paraId="7F369DC3" w14:textId="77777777" w:rsidR="001E4DF4" w:rsidRDefault="00413E94">
      <w:pPr>
        <w:spacing w:after="140" w:line="276" w:lineRule="auto"/>
      </w:pPr>
      <w:r>
        <w:rPr>
          <w:b/>
          <w:bCs/>
          <w:color w:val="1E1E1E"/>
        </w:rPr>
        <w:t xml:space="preserve">When in doubt, de-identify. </w:t>
      </w:r>
      <w:r>
        <w:t>Use hypotheticals and placeholders rather than real identifiers, even on approved platforms.</w:t>
      </w:r>
    </w:p>
    <w:p w14:paraId="6D4F4A35" w14:textId="77777777" w:rsidR="001E4DF4" w:rsidRDefault="00413E94">
      <w:pPr>
        <w:pStyle w:val="Heading2"/>
      </w:pPr>
      <w:r>
        <w:t>D.  Data Flowing Through Systems We Build</w:t>
      </w:r>
    </w:p>
    <w:p w14:paraId="15DEC393" w14:textId="77777777" w:rsidR="001E4DF4" w:rsidRDefault="00413E94">
      <w:pPr>
        <w:spacing w:after="140" w:line="276" w:lineRule="auto"/>
      </w:pPr>
      <w:r>
        <w:t>Client and end-user data that passes through agents and pipelines NURO operates (</w:t>
      </w:r>
      <w:proofErr w:type="spellStart"/>
      <w:r>
        <w:t>Supabase</w:t>
      </w:r>
      <w:proofErr w:type="spellEnd"/>
      <w:r>
        <w:t>, GHL, voice platforms, APIP, CRM layers) is governed by the same classification. For every BUILD project: data is segregated by client, retention is defined, third-party model terms are confirmed to prohibit training on client data, and the client's data-use expectations are documented in the SOW (Section IX).</w:t>
      </w:r>
    </w:p>
    <w:p w14:paraId="1E019CAC" w14:textId="68373660" w:rsidR="001E4DF4" w:rsidRDefault="00413E94">
      <w:pPr>
        <w:pStyle w:val="Heading1"/>
        <w:pBdr>
          <w:bottom w:val="single" w:sz="14" w:space="6" w:color="D4A84B"/>
        </w:pBdr>
      </w:pPr>
      <w:bookmarkStart w:id="6" w:name="_Toc232761862"/>
      <w:r>
        <w:rPr>
          <w:color w:val="A8842F"/>
        </w:rPr>
        <w:t xml:space="preserve">VII.  </w:t>
      </w:r>
      <w:r>
        <w:t>The Mandatory HI Review Step</w:t>
      </w:r>
      <w:r w:rsidR="007A68A9">
        <w:t xml:space="preserve"> - </w:t>
      </w:r>
      <w:r>
        <w:t>Deliverables</w:t>
      </w:r>
      <w:bookmarkEnd w:id="6"/>
    </w:p>
    <w:p w14:paraId="3EE423CA" w14:textId="77777777" w:rsidR="001E4DF4" w:rsidRDefault="00413E94">
      <w:pPr>
        <w:spacing w:after="160" w:line="276" w:lineRule="auto"/>
      </w:pPr>
      <w:r>
        <w:rPr>
          <w:i/>
          <w:iCs/>
        </w:rPr>
        <w:t>Before any AI-assisted content leaves NURO, a named person verifies it and takes ownership of it. This is the core safeguard for everything we ship.</w:t>
      </w:r>
    </w:p>
    <w:p w14:paraId="513DC3CA" w14:textId="77777777" w:rsidR="001E4DF4" w:rsidRDefault="00413E94">
      <w:pPr>
        <w:pStyle w:val="Heading2"/>
      </w:pPr>
      <w:r>
        <w:t>A.  What Must Pass the HI Step</w:t>
      </w:r>
    </w:p>
    <w:p w14:paraId="498CFA31" w14:textId="2AAAF30A" w:rsidR="001E4DF4" w:rsidRDefault="00413E94">
      <w:pPr>
        <w:spacing w:after="140" w:line="276" w:lineRule="auto"/>
      </w:pPr>
      <w:r>
        <w:t>Any deliverable that leaves NURO and was touched by AI at any stage</w:t>
      </w:r>
      <w:r w:rsidR="007A68A9">
        <w:t xml:space="preserve"> - </w:t>
      </w:r>
      <w:r>
        <w:t>proposals, reports, client letters, marketing copy, financial figures, legal-adjacent language, code shipped to a client, and any client-facing AI output.</w:t>
      </w:r>
    </w:p>
    <w:p w14:paraId="40671386" w14:textId="77777777" w:rsidR="001E4DF4" w:rsidRDefault="00413E94">
      <w:pPr>
        <w:pStyle w:val="Heading2"/>
      </w:pPr>
      <w:r>
        <w:t>B.  Verification Protocol</w:t>
      </w:r>
    </w:p>
    <w:p w14:paraId="4D64E0D5" w14:textId="0FB2DB98" w:rsidR="001E4DF4" w:rsidRDefault="00413E94">
      <w:pPr>
        <w:pStyle w:val="ListParagraph"/>
        <w:numPr>
          <w:ilvl w:val="0"/>
          <w:numId w:val="2"/>
        </w:numPr>
        <w:spacing w:after="80" w:line="268" w:lineRule="auto"/>
      </w:pPr>
      <w:r>
        <w:rPr>
          <w:b/>
          <w:bCs/>
          <w:color w:val="1E1E1E"/>
        </w:rPr>
        <w:t xml:space="preserve">Retrieve &amp; confirm. </w:t>
      </w:r>
      <w:r>
        <w:t>Every factual claim, statute, figure, name, citation, or data point is confirmed against a primary source</w:t>
      </w:r>
      <w:r w:rsidR="007A68A9">
        <w:t xml:space="preserve"> - </w:t>
      </w:r>
      <w:r>
        <w:t>not an AI summary. A citation that cannot be located does not get used. For regulatory and government program matters (SBA EIDL/Disaster Loans, ERC/ERTC claims, Florida Executive Orders, IRS guidance, CDC/OSHA): retrieve current official text directly from sba.gov, irs.gov, fl.gov, Florida Administrative Register, or official court/government sites; confirm version, effective date, and applicability to client facts only after independent HI verification of mandate scope and preemption.</w:t>
      </w:r>
    </w:p>
    <w:p w14:paraId="32122D76" w14:textId="77777777" w:rsidR="001E4DF4" w:rsidRDefault="00413E94">
      <w:pPr>
        <w:pStyle w:val="ListParagraph"/>
        <w:numPr>
          <w:ilvl w:val="0"/>
          <w:numId w:val="2"/>
        </w:numPr>
        <w:spacing w:after="80" w:line="268" w:lineRule="auto"/>
      </w:pPr>
      <w:r>
        <w:rPr>
          <w:b/>
          <w:bCs/>
          <w:color w:val="1E1E1E"/>
        </w:rPr>
        <w:t xml:space="preserve">Read in full. </w:t>
      </w:r>
      <w:r>
        <w:t>The reviewer reads the entire output and independently assesses it. No skimming AI output and forwarding it.</w:t>
      </w:r>
    </w:p>
    <w:p w14:paraId="7E66D8C9" w14:textId="77777777" w:rsidR="001E4DF4" w:rsidRDefault="00413E94">
      <w:pPr>
        <w:pStyle w:val="ListParagraph"/>
        <w:numPr>
          <w:ilvl w:val="0"/>
          <w:numId w:val="2"/>
        </w:numPr>
        <w:spacing w:after="80" w:line="268" w:lineRule="auto"/>
      </w:pPr>
      <w:r>
        <w:rPr>
          <w:b/>
          <w:bCs/>
          <w:color w:val="1E1E1E"/>
        </w:rPr>
        <w:t xml:space="preserve">Confidentiality check. </w:t>
      </w:r>
      <w:r>
        <w:t>Confirm no confidential or PII data was exposed to an unapproved tool during creation.</w:t>
      </w:r>
    </w:p>
    <w:p w14:paraId="4A979DD1" w14:textId="0051F72F" w:rsidR="001E4DF4" w:rsidRDefault="00413E94">
      <w:pPr>
        <w:pStyle w:val="ListParagraph"/>
        <w:numPr>
          <w:ilvl w:val="0"/>
          <w:numId w:val="2"/>
        </w:numPr>
        <w:spacing w:after="80" w:line="268" w:lineRule="auto"/>
      </w:pPr>
      <w:r>
        <w:rPr>
          <w:b/>
          <w:bCs/>
          <w:color w:val="1E1E1E"/>
        </w:rPr>
        <w:t xml:space="preserve">Brand &amp; accuracy check. </w:t>
      </w:r>
      <w:r>
        <w:t>Confirm the deliverable reflects NURO standards (including brand rules</w:t>
      </w:r>
      <w:r w:rsidR="007A68A9">
        <w:t xml:space="preserve"> - </w:t>
      </w:r>
      <w:r>
        <w:t>e.g., NURO black-and-gold; APIP's own brand system) and the team's own judgment, not the model's defaults.</w:t>
      </w:r>
    </w:p>
    <w:p w14:paraId="358E2C13" w14:textId="77777777" w:rsidR="001E4DF4" w:rsidRDefault="00413E94">
      <w:pPr>
        <w:pStyle w:val="ListParagraph"/>
        <w:numPr>
          <w:ilvl w:val="0"/>
          <w:numId w:val="2"/>
        </w:numPr>
        <w:spacing w:after="80" w:line="268" w:lineRule="auto"/>
      </w:pPr>
      <w:r>
        <w:rPr>
          <w:b/>
          <w:bCs/>
          <w:color w:val="1E1E1E"/>
        </w:rPr>
        <w:t xml:space="preserve">Own it. </w:t>
      </w:r>
      <w:r>
        <w:t>The reviewer must be prepared to stand behind every word as NURO's own work.</w:t>
      </w:r>
    </w:p>
    <w:p w14:paraId="2A3DA3E1" w14:textId="77777777" w:rsidR="001E4DF4" w:rsidRDefault="00413E94">
      <w:pPr>
        <w:pStyle w:val="Heading2"/>
      </w:pPr>
      <w:r>
        <w:t>C.  Labeling &amp; Versioning</w:t>
      </w:r>
    </w:p>
    <w:p w14:paraId="19C4B373" w14:textId="6B96EF23" w:rsidR="001E4DF4" w:rsidRDefault="00413E94">
      <w:pPr>
        <w:pStyle w:val="ListParagraph"/>
        <w:numPr>
          <w:ilvl w:val="0"/>
          <w:numId w:val="2"/>
        </w:numPr>
        <w:spacing w:after="80" w:line="268" w:lineRule="auto"/>
      </w:pPr>
      <w:r>
        <w:t>AI-generated drafts are labeled “AI Draft</w:t>
      </w:r>
      <w:r w:rsidR="007A68A9">
        <w:t xml:space="preserve"> - </w:t>
      </w:r>
      <w:r>
        <w:t xml:space="preserve">Unverified” until the HI Step is </w:t>
      </w:r>
      <w:proofErr w:type="gramStart"/>
      <w:r>
        <w:t>complete, and</w:t>
      </w:r>
      <w:proofErr w:type="gramEnd"/>
      <w:r>
        <w:t xml:space="preserve"> kept distinct from the reviewed final.</w:t>
      </w:r>
    </w:p>
    <w:p w14:paraId="2A250BE9" w14:textId="77777777" w:rsidR="001E4DF4" w:rsidRDefault="00413E94">
      <w:pPr>
        <w:pStyle w:val="ListParagraph"/>
        <w:numPr>
          <w:ilvl w:val="0"/>
          <w:numId w:val="2"/>
        </w:numPr>
        <w:spacing w:after="80" w:line="268" w:lineRule="auto"/>
      </w:pPr>
      <w:r>
        <w:t>For substantive client deliverables, the reviewer is recorded (who reviewed, when). This is the deliverable equivalent of a sign-off.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E4DF4" w14:paraId="7D28A683" w14:textId="77777777">
        <w:tblPrEx>
          <w:tblCellMar>
            <w:top w:w="0" w:type="dxa"/>
            <w:bottom w:w="0" w:type="dxa"/>
          </w:tblCellMar>
        </w:tblPrEx>
        <w:tc>
          <w:tcPr>
            <w:tcW w:w="9360" w:type="dxa"/>
            <w:tcBorders>
              <w:top w:val="single" w:sz="2" w:space="0" w:color="EFEBE0"/>
              <w:left w:val="single" w:sz="24" w:space="0" w:color="D4A84B"/>
              <w:bottom w:val="single" w:sz="2" w:space="0" w:color="EFEBE0"/>
              <w:right w:val="single" w:sz="2" w:space="0" w:color="EFEBE0"/>
            </w:tcBorders>
            <w:shd w:val="clear" w:color="auto" w:fill="EFEBE0"/>
            <w:tcMar>
              <w:top w:w="140" w:type="dxa"/>
              <w:left w:w="200" w:type="dxa"/>
              <w:bottom w:w="140" w:type="dxa"/>
              <w:right w:w="180" w:type="dxa"/>
            </w:tcMar>
          </w:tcPr>
          <w:p w14:paraId="6A46A7E8" w14:textId="5B671F3E" w:rsidR="001E4DF4" w:rsidRDefault="00413E94">
            <w:pPr>
              <w:spacing w:after="100"/>
            </w:pPr>
            <w:r>
              <w:rPr>
                <w:b/>
                <w:bCs/>
                <w:color w:val="1E1E1E"/>
              </w:rPr>
              <w:t>HI Step</w:t>
            </w:r>
            <w:r w:rsidR="007A68A9">
              <w:rPr>
                <w:b/>
                <w:bCs/>
                <w:color w:val="1E1E1E"/>
              </w:rPr>
              <w:t xml:space="preserve"> - </w:t>
            </w:r>
            <w:r>
              <w:rPr>
                <w:b/>
                <w:bCs/>
                <w:color w:val="1E1E1E"/>
              </w:rPr>
              <w:t>Deliverable Checklist</w:t>
            </w:r>
          </w:p>
          <w:p w14:paraId="33A46D50" w14:textId="77777777" w:rsidR="001E4DF4" w:rsidRDefault="00413E94">
            <w:pPr>
              <w:spacing w:after="60" w:line="260" w:lineRule="auto"/>
              <w:ind w:left="200"/>
            </w:pPr>
            <w:r>
              <w:rPr>
                <w:b/>
                <w:bCs/>
                <w:color w:val="A8842F"/>
              </w:rPr>
              <w:t>✓</w:t>
            </w:r>
            <w:r>
              <w:rPr>
                <w:b/>
                <w:bCs/>
                <w:color w:val="A8842F"/>
              </w:rPr>
              <w:t xml:space="preserve">  </w:t>
            </w:r>
            <w:r>
              <w:rPr>
                <w:sz w:val="20"/>
                <w:szCs w:val="20"/>
              </w:rPr>
              <w:t>Every fact, figure, name, and citation independently verified from a primary source.</w:t>
            </w:r>
          </w:p>
          <w:p w14:paraId="46025D78" w14:textId="77777777" w:rsidR="001E4DF4" w:rsidRDefault="00413E94">
            <w:pPr>
              <w:spacing w:after="60" w:line="260" w:lineRule="auto"/>
              <w:ind w:left="200"/>
            </w:pPr>
            <w:r>
              <w:rPr>
                <w:b/>
                <w:bCs/>
                <w:color w:val="A8842F"/>
              </w:rPr>
              <w:t>✓</w:t>
            </w:r>
            <w:r>
              <w:rPr>
                <w:b/>
                <w:bCs/>
                <w:color w:val="A8842F"/>
              </w:rPr>
              <w:t xml:space="preserve">  </w:t>
            </w:r>
            <w:r>
              <w:rPr>
                <w:sz w:val="20"/>
                <w:szCs w:val="20"/>
              </w:rPr>
              <w:t>No confidential or PII data was exposed to an unapproved tool.</w:t>
            </w:r>
          </w:p>
          <w:p w14:paraId="63C8A267" w14:textId="77777777" w:rsidR="001E4DF4" w:rsidRDefault="00413E94">
            <w:pPr>
              <w:spacing w:after="60" w:line="260" w:lineRule="auto"/>
              <w:ind w:left="200"/>
            </w:pPr>
            <w:r>
              <w:rPr>
                <w:b/>
                <w:bCs/>
                <w:color w:val="A8842F"/>
              </w:rPr>
              <w:t>✓</w:t>
            </w:r>
            <w:r>
              <w:rPr>
                <w:b/>
                <w:bCs/>
                <w:color w:val="A8842F"/>
              </w:rPr>
              <w:t xml:space="preserve">  </w:t>
            </w:r>
            <w:r>
              <w:rPr>
                <w:sz w:val="20"/>
                <w:szCs w:val="20"/>
              </w:rPr>
              <w:t>Output read in full and reflects NURO's independent judgment and brand standards.</w:t>
            </w:r>
          </w:p>
          <w:p w14:paraId="230B3325" w14:textId="77777777" w:rsidR="001E4DF4" w:rsidRDefault="00413E94">
            <w:pPr>
              <w:spacing w:after="60" w:line="260" w:lineRule="auto"/>
              <w:ind w:left="200"/>
            </w:pPr>
            <w:r>
              <w:rPr>
                <w:b/>
                <w:bCs/>
                <w:color w:val="A8842F"/>
              </w:rPr>
              <w:t>✓</w:t>
            </w:r>
            <w:r>
              <w:rPr>
                <w:b/>
                <w:bCs/>
                <w:color w:val="A8842F"/>
              </w:rPr>
              <w:t xml:space="preserve">  </w:t>
            </w:r>
            <w:r>
              <w:rPr>
                <w:sz w:val="20"/>
                <w:szCs w:val="20"/>
              </w:rPr>
              <w:t>No unverified AI-generated content remains in the final.</w:t>
            </w:r>
          </w:p>
          <w:p w14:paraId="7FB5D13A" w14:textId="77777777" w:rsidR="001E4DF4" w:rsidRDefault="00413E94">
            <w:pPr>
              <w:spacing w:after="60" w:line="260" w:lineRule="auto"/>
              <w:ind w:left="200"/>
            </w:pPr>
            <w:r>
              <w:rPr>
                <w:b/>
                <w:bCs/>
                <w:color w:val="A8842F"/>
              </w:rPr>
              <w:t>✓</w:t>
            </w:r>
            <w:r>
              <w:rPr>
                <w:b/>
                <w:bCs/>
                <w:color w:val="A8842F"/>
              </w:rPr>
              <w:t xml:space="preserve">  </w:t>
            </w:r>
            <w:r>
              <w:rPr>
                <w:sz w:val="20"/>
                <w:szCs w:val="20"/>
              </w:rPr>
              <w:t>Reviewer is prepared to stand behind it as NURO's own work.</w:t>
            </w:r>
          </w:p>
        </w:tc>
      </w:tr>
    </w:tbl>
    <w:p w14:paraId="1B88E6F4" w14:textId="77777777" w:rsidR="001E4DF4" w:rsidRDefault="001E4DF4">
      <w:pPr>
        <w:pageBreakBefore/>
      </w:pPr>
    </w:p>
    <w:p w14:paraId="6E10DFC0" w14:textId="77777777" w:rsidR="001E4DF4" w:rsidRDefault="00413E94">
      <w:pPr>
        <w:pStyle w:val="Heading1"/>
        <w:pBdr>
          <w:bottom w:val="single" w:sz="14" w:space="6" w:color="D4A84B"/>
        </w:pBdr>
      </w:pPr>
      <w:bookmarkStart w:id="7" w:name="_Toc232761863"/>
      <w:r>
        <w:rPr>
          <w:color w:val="A8842F"/>
        </w:rPr>
        <w:t xml:space="preserve">VIII.  </w:t>
      </w:r>
      <w:r>
        <w:t>Governance of AI Systems NURO Builds &amp; Deploys</w:t>
      </w:r>
      <w:bookmarkEnd w:id="7"/>
    </w:p>
    <w:p w14:paraId="1864C309" w14:textId="28B5DAB0" w:rsidR="001E4DF4" w:rsidRDefault="00413E94">
      <w:pPr>
        <w:spacing w:after="160" w:line="276" w:lineRule="auto"/>
      </w:pPr>
      <w:r>
        <w:rPr>
          <w:i/>
          <w:iCs/>
        </w:rPr>
        <w:t>This is the section that distinguishes NURO from a company that merely uses AI. When AI can act</w:t>
      </w:r>
      <w:r w:rsidR="007A68A9">
        <w:rPr>
          <w:i/>
          <w:iCs/>
        </w:rPr>
        <w:t xml:space="preserve"> - </w:t>
      </w:r>
      <w:r>
        <w:rPr>
          <w:i/>
          <w:iCs/>
        </w:rPr>
        <w:t>not just advise</w:t>
      </w:r>
      <w:r w:rsidR="007A68A9">
        <w:rPr>
          <w:i/>
          <w:iCs/>
        </w:rPr>
        <w:t xml:space="preserve"> - </w:t>
      </w:r>
      <w:r>
        <w:rPr>
          <w:i/>
          <w:iCs/>
        </w:rPr>
        <w:t>the obligation shifts from accuracy to control. No NURO agent reaches production without the following. An AI Impact Assessment (covering purpose, affected parties, rights/financial impact, bias/fairness exposure especially for qualification agents, regulatory exposure, and mitigations) is completed and CAIO-approved before design begins.</w:t>
      </w:r>
    </w:p>
    <w:p w14:paraId="6C9AF487" w14:textId="248A1D4B" w:rsidR="001E4DF4" w:rsidRDefault="00413E94">
      <w:pPr>
        <w:pStyle w:val="Heading2"/>
      </w:pPr>
      <w:r>
        <w:t>A.  Named Ownership</w:t>
      </w:r>
      <w:r w:rsidR="007A68A9">
        <w:t xml:space="preserve"> - </w:t>
      </w:r>
      <w:r>
        <w:t>Before Production</w:t>
      </w:r>
    </w:p>
    <w:p w14:paraId="0FA3CB18" w14:textId="77777777" w:rsidR="001E4DF4" w:rsidRDefault="00413E94">
      <w:pPr>
        <w:spacing w:after="140" w:line="276" w:lineRule="auto"/>
      </w:pPr>
      <w:r>
        <w:t>Every agent, automation, or AI product NURO deploys has, before it goes live:</w:t>
      </w:r>
    </w:p>
    <w:p w14:paraId="19B3085A" w14:textId="4DD5830A" w:rsidR="001E4DF4" w:rsidRDefault="00413E94">
      <w:pPr>
        <w:pStyle w:val="ListParagraph"/>
        <w:numPr>
          <w:ilvl w:val="0"/>
          <w:numId w:val="2"/>
        </w:numPr>
        <w:spacing w:after="80" w:line="268" w:lineRule="auto"/>
      </w:pPr>
      <w:r>
        <w:rPr>
          <w:b/>
          <w:bCs/>
          <w:color w:val="1E1E1E"/>
        </w:rPr>
        <w:t>A Business Owner</w:t>
      </w:r>
      <w:r w:rsidR="007A68A9">
        <w:rPr>
          <w:b/>
          <w:bCs/>
          <w:color w:val="1E1E1E"/>
        </w:rPr>
        <w:t xml:space="preserve"> - </w:t>
      </w:r>
      <w:r>
        <w:t>accountable for the business outcome and the client relationship.</w:t>
      </w:r>
    </w:p>
    <w:p w14:paraId="045413C1" w14:textId="0C17016F" w:rsidR="001E4DF4" w:rsidRDefault="00413E94">
      <w:pPr>
        <w:pStyle w:val="ListParagraph"/>
        <w:numPr>
          <w:ilvl w:val="0"/>
          <w:numId w:val="2"/>
        </w:numPr>
        <w:spacing w:after="80" w:line="268" w:lineRule="auto"/>
      </w:pPr>
      <w:r>
        <w:rPr>
          <w:b/>
          <w:bCs/>
          <w:color w:val="1E1E1E"/>
        </w:rPr>
        <w:t>A Technical Owner</w:t>
      </w:r>
      <w:r w:rsidR="007A68A9">
        <w:rPr>
          <w:b/>
          <w:bCs/>
          <w:color w:val="1E1E1E"/>
        </w:rPr>
        <w:t xml:space="preserve"> - </w:t>
      </w:r>
      <w:r>
        <w:t>accountable for the system's behavior, safety, monitoring, and rollback.</w:t>
      </w:r>
    </w:p>
    <w:p w14:paraId="2886894A" w14:textId="77777777" w:rsidR="001E4DF4" w:rsidRDefault="00413E94">
      <w:pPr>
        <w:pStyle w:val="Heading2"/>
      </w:pPr>
      <w:r>
        <w:t>B.  Agent Risk Classification</w:t>
      </w:r>
    </w:p>
    <w:p w14:paraId="4C4D9BDF" w14:textId="77777777" w:rsidR="001E4DF4" w:rsidRDefault="00413E94">
      <w:pPr>
        <w:spacing w:after="140" w:line="276" w:lineRule="auto"/>
      </w:pPr>
      <w:r>
        <w:t>Each system is classified at design time. Higher risk demands tighter human checkpoints.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4360"/>
        <w:gridCol w:w="3300"/>
      </w:tblGrid>
      <w:tr w:rsidR="001E4DF4" w14:paraId="2CC0DB6E" w14:textId="77777777">
        <w:tblPrEx>
          <w:tblCellMar>
            <w:top w:w="0" w:type="dxa"/>
            <w:bottom w:w="0" w:type="dxa"/>
          </w:tblCellMar>
        </w:tblPrEx>
        <w:trPr>
          <w:tblHeader/>
        </w:trPr>
        <w:tc>
          <w:tcPr>
            <w:tcW w:w="17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5861987F" w14:textId="77777777" w:rsidR="001E4DF4" w:rsidRDefault="00413E94">
            <w:pPr>
              <w:spacing w:line="252" w:lineRule="auto"/>
            </w:pPr>
            <w:r>
              <w:rPr>
                <w:b/>
                <w:bCs/>
                <w:color w:val="D4A84B"/>
                <w:sz w:val="20"/>
                <w:szCs w:val="20"/>
              </w:rPr>
              <w:t>Class</w:t>
            </w:r>
          </w:p>
        </w:tc>
        <w:tc>
          <w:tcPr>
            <w:tcW w:w="436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33241BDA" w14:textId="77777777" w:rsidR="001E4DF4" w:rsidRDefault="00413E94">
            <w:pPr>
              <w:spacing w:line="252" w:lineRule="auto"/>
            </w:pPr>
            <w:r>
              <w:rPr>
                <w:b/>
                <w:bCs/>
                <w:color w:val="D4A84B"/>
                <w:sz w:val="20"/>
                <w:szCs w:val="20"/>
              </w:rPr>
              <w:t>Definition</w:t>
            </w:r>
          </w:p>
        </w:tc>
        <w:tc>
          <w:tcPr>
            <w:tcW w:w="33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0B4D3A43" w14:textId="77777777" w:rsidR="001E4DF4" w:rsidRDefault="00413E94">
            <w:pPr>
              <w:spacing w:line="252" w:lineRule="auto"/>
            </w:pPr>
            <w:r>
              <w:rPr>
                <w:b/>
                <w:bCs/>
                <w:color w:val="D4A84B"/>
                <w:sz w:val="20"/>
                <w:szCs w:val="20"/>
              </w:rPr>
              <w:t>Required Oversight</w:t>
            </w:r>
          </w:p>
        </w:tc>
      </w:tr>
      <w:tr w:rsidR="001E4DF4" w14:paraId="3B5D7586" w14:textId="77777777">
        <w:tblPrEx>
          <w:tblCellMar>
            <w:top w:w="0" w:type="dxa"/>
            <w:bottom w:w="0" w:type="dxa"/>
          </w:tblCellMar>
        </w:tblPrEx>
        <w:tc>
          <w:tcPr>
            <w:tcW w:w="17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7DAEE28C" w14:textId="77777777" w:rsidR="001E4DF4" w:rsidRDefault="00413E94">
            <w:pPr>
              <w:spacing w:line="252" w:lineRule="auto"/>
            </w:pPr>
            <w:r>
              <w:rPr>
                <w:b/>
                <w:bCs/>
                <w:color w:val="1E1E1E"/>
                <w:sz w:val="19"/>
                <w:szCs w:val="19"/>
              </w:rPr>
              <w:t>LOW</w:t>
            </w:r>
          </w:p>
        </w:tc>
        <w:tc>
          <w:tcPr>
            <w:tcW w:w="4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39362206" w14:textId="77777777" w:rsidR="001E4DF4" w:rsidRDefault="00413E94">
            <w:pPr>
              <w:spacing w:line="252" w:lineRule="auto"/>
            </w:pPr>
            <w:r>
              <w:rPr>
                <w:sz w:val="19"/>
                <w:szCs w:val="19"/>
              </w:rPr>
              <w:t>Informational only; no external action, no consequential decision (e.g., internal summarizer).</w:t>
            </w:r>
          </w:p>
        </w:tc>
        <w:tc>
          <w:tcPr>
            <w:tcW w:w="33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6CC4221C" w14:textId="77777777" w:rsidR="001E4DF4" w:rsidRDefault="00413E94">
            <w:pPr>
              <w:spacing w:line="252" w:lineRule="auto"/>
            </w:pPr>
            <w:r>
              <w:rPr>
                <w:sz w:val="19"/>
                <w:szCs w:val="19"/>
              </w:rPr>
              <w:t>Standard testing; human-on-the-loop review of outputs.</w:t>
            </w:r>
          </w:p>
        </w:tc>
      </w:tr>
      <w:tr w:rsidR="001E4DF4" w14:paraId="118DF188" w14:textId="77777777">
        <w:tblPrEx>
          <w:tblCellMar>
            <w:top w:w="0" w:type="dxa"/>
            <w:bottom w:w="0" w:type="dxa"/>
          </w:tblCellMar>
        </w:tblPrEx>
        <w:tc>
          <w:tcPr>
            <w:tcW w:w="17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0B7257FF" w14:textId="77777777" w:rsidR="001E4DF4" w:rsidRDefault="00413E94">
            <w:pPr>
              <w:spacing w:line="252" w:lineRule="auto"/>
            </w:pPr>
            <w:r>
              <w:rPr>
                <w:b/>
                <w:bCs/>
                <w:color w:val="1E1E1E"/>
                <w:sz w:val="19"/>
                <w:szCs w:val="19"/>
              </w:rPr>
              <w:t>ELEVATED</w:t>
            </w:r>
          </w:p>
        </w:tc>
        <w:tc>
          <w:tcPr>
            <w:tcW w:w="4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3CA67B99" w14:textId="77777777" w:rsidR="001E4DF4" w:rsidRDefault="00413E94">
            <w:pPr>
              <w:spacing w:line="252" w:lineRule="auto"/>
            </w:pPr>
            <w:r>
              <w:rPr>
                <w:sz w:val="19"/>
                <w:szCs w:val="19"/>
              </w:rPr>
              <w:t>Acts on external systems or contacts (e.g., outbound messaging, lead qualification, scheduling).</w:t>
            </w:r>
          </w:p>
        </w:tc>
        <w:tc>
          <w:tcPr>
            <w:tcW w:w="33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59E06BA1" w14:textId="77777777" w:rsidR="001E4DF4" w:rsidRDefault="00413E94">
            <w:pPr>
              <w:spacing w:line="252" w:lineRule="auto"/>
            </w:pPr>
            <w:r>
              <w:rPr>
                <w:sz w:val="19"/>
                <w:szCs w:val="19"/>
              </w:rPr>
              <w:t>Bounded autonomy + defined human checkpoints; logging; disclosure to end users.</w:t>
            </w:r>
          </w:p>
        </w:tc>
      </w:tr>
      <w:tr w:rsidR="001E4DF4" w14:paraId="19034477" w14:textId="77777777">
        <w:tblPrEx>
          <w:tblCellMar>
            <w:top w:w="0" w:type="dxa"/>
            <w:bottom w:w="0" w:type="dxa"/>
          </w:tblCellMar>
        </w:tblPrEx>
        <w:tc>
          <w:tcPr>
            <w:tcW w:w="1700" w:type="dxa"/>
            <w:tcBorders>
              <w:top w:val="single" w:sz="2" w:space="0" w:color="D8D2C4"/>
              <w:left w:val="single" w:sz="2" w:space="0" w:color="D8D2C4"/>
              <w:bottom w:val="single" w:sz="2" w:space="0" w:color="D8D2C4"/>
              <w:right w:val="single" w:sz="2" w:space="0" w:color="D8D2C4"/>
            </w:tcBorders>
            <w:shd w:val="clear" w:color="auto" w:fill="1E1E1E"/>
            <w:tcMar>
              <w:top w:w="90" w:type="dxa"/>
              <w:left w:w="130" w:type="dxa"/>
              <w:bottom w:w="90" w:type="dxa"/>
              <w:right w:w="130" w:type="dxa"/>
            </w:tcMar>
            <w:vAlign w:val="center"/>
          </w:tcPr>
          <w:p w14:paraId="0D77B36B" w14:textId="77777777" w:rsidR="001E4DF4" w:rsidRDefault="00413E94">
            <w:pPr>
              <w:spacing w:line="252" w:lineRule="auto"/>
            </w:pPr>
            <w:r>
              <w:rPr>
                <w:b/>
                <w:bCs/>
                <w:color w:val="D4A84B"/>
                <w:sz w:val="19"/>
                <w:szCs w:val="19"/>
              </w:rPr>
              <w:t>HIGH</w:t>
            </w:r>
          </w:p>
        </w:tc>
        <w:tc>
          <w:tcPr>
            <w:tcW w:w="4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442ACE83" w14:textId="77777777" w:rsidR="001E4DF4" w:rsidRDefault="00413E94">
            <w:pPr>
              <w:spacing w:line="252" w:lineRule="auto"/>
            </w:pPr>
            <w:r>
              <w:rPr>
                <w:sz w:val="19"/>
                <w:szCs w:val="19"/>
              </w:rPr>
              <w:t>Touches money, legal/financial determinations, regulated data, or consequential decisions about a person.</w:t>
            </w:r>
          </w:p>
        </w:tc>
        <w:tc>
          <w:tcPr>
            <w:tcW w:w="33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39414BBC" w14:textId="77777777" w:rsidR="001E4DF4" w:rsidRDefault="00413E94">
            <w:pPr>
              <w:spacing w:line="252" w:lineRule="auto"/>
            </w:pPr>
            <w:r>
              <w:rPr>
                <w:sz w:val="19"/>
                <w:szCs w:val="19"/>
              </w:rPr>
              <w:t>Human-in-the-loop approval per consequential action; enhanced testing; client sign-off; kill switch. For any qualification, intake, or scoring agent: explicit bias/fairness review required in pre-deployment testing and periodic audits.</w:t>
            </w:r>
          </w:p>
        </w:tc>
      </w:tr>
    </w:tbl>
    <w:p w14:paraId="2D66428D" w14:textId="77777777" w:rsidR="001E4DF4" w:rsidRDefault="00413E94">
      <w:pPr>
        <w:pStyle w:val="Heading2"/>
      </w:pPr>
      <w:r>
        <w:t>C.  Bounded Autonomy &amp; Human Checkpoints</w:t>
      </w:r>
    </w:p>
    <w:p w14:paraId="4713F357" w14:textId="77777777" w:rsidR="001E4DF4" w:rsidRDefault="00413E94">
      <w:pPr>
        <w:pStyle w:val="ListParagraph"/>
        <w:numPr>
          <w:ilvl w:val="0"/>
          <w:numId w:val="2"/>
        </w:numPr>
        <w:spacing w:after="80" w:line="268" w:lineRule="auto"/>
      </w:pPr>
      <w:r>
        <w:t xml:space="preserve">Every agent </w:t>
      </w:r>
      <w:proofErr w:type="gramStart"/>
      <w:r>
        <w:t>ships</w:t>
      </w:r>
      <w:proofErr w:type="gramEnd"/>
      <w:r>
        <w:t xml:space="preserve"> with a documented boundary: the specific actions it may take autonomously, and the actions that require a human to approve before they occur.</w:t>
      </w:r>
    </w:p>
    <w:p w14:paraId="636B1B75" w14:textId="6EABE26E" w:rsidR="001E4DF4" w:rsidRDefault="00413E94">
      <w:pPr>
        <w:pStyle w:val="ListParagraph"/>
        <w:numPr>
          <w:ilvl w:val="0"/>
          <w:numId w:val="2"/>
        </w:numPr>
        <w:spacing w:after="80" w:line="268" w:lineRule="auto"/>
      </w:pPr>
      <w:r>
        <w:t>Consequential actions</w:t>
      </w:r>
      <w:r w:rsidR="007A68A9">
        <w:t xml:space="preserve"> - </w:t>
      </w:r>
      <w:r>
        <w:t>anything financial, legal, contractual, or that materially affects a person</w:t>
      </w:r>
      <w:r w:rsidR="007A68A9">
        <w:t xml:space="preserve"> - </w:t>
      </w:r>
      <w:r>
        <w:t>require a human checkpoint. Agents qualify, draft, route, and prepare; humans decide and commit.</w:t>
      </w:r>
    </w:p>
    <w:p w14:paraId="1F0942F4" w14:textId="77777777" w:rsidR="001E4DF4" w:rsidRDefault="00413E94">
      <w:pPr>
        <w:pStyle w:val="ListParagraph"/>
        <w:numPr>
          <w:ilvl w:val="0"/>
          <w:numId w:val="2"/>
        </w:numPr>
        <w:spacing w:after="80" w:line="268" w:lineRule="auto"/>
      </w:pPr>
      <w:r>
        <w:t>Agents are never granted authority to make legal or financial determinations on a client's behalf. (E.g., an intake or qualification agent surfaces a candidate; a person makes the accept/decline call.)</w:t>
      </w:r>
    </w:p>
    <w:p w14:paraId="415A5040" w14:textId="77777777" w:rsidR="001E4DF4" w:rsidRDefault="00413E94">
      <w:pPr>
        <w:pStyle w:val="Heading2"/>
      </w:pPr>
      <w:r>
        <w:t>D.  Disclosure to End Users</w:t>
      </w:r>
    </w:p>
    <w:p w14:paraId="40C57746" w14:textId="77777777" w:rsidR="001E4DF4" w:rsidRDefault="00413E94">
      <w:pPr>
        <w:pStyle w:val="ListParagraph"/>
        <w:numPr>
          <w:ilvl w:val="0"/>
          <w:numId w:val="2"/>
        </w:numPr>
        <w:spacing w:after="80" w:line="268" w:lineRule="auto"/>
      </w:pPr>
      <w:r>
        <w:t>People interacting with a NURO-built agent are told they are interacting with AI. Voice and chat agents disclose their AI nature; they do not impersonate a specific named human.</w:t>
      </w:r>
    </w:p>
    <w:p w14:paraId="727D91F7" w14:textId="77777777" w:rsidR="001E4DF4" w:rsidRDefault="00413E94">
      <w:pPr>
        <w:pStyle w:val="ListParagraph"/>
        <w:numPr>
          <w:ilvl w:val="0"/>
          <w:numId w:val="2"/>
        </w:numPr>
        <w:spacing w:after="80" w:line="268" w:lineRule="auto"/>
      </w:pPr>
      <w:r>
        <w:t>Disclosure language and any jurisdiction-specific bot-disclosure requirements are confirmed before launch.</w:t>
      </w:r>
    </w:p>
    <w:p w14:paraId="5655B341" w14:textId="3E13BA06" w:rsidR="001E4DF4" w:rsidRDefault="00413E94">
      <w:pPr>
        <w:pStyle w:val="Heading2"/>
      </w:pPr>
      <w:r>
        <w:t>E.  Security</w:t>
      </w:r>
      <w:r w:rsidR="007A68A9">
        <w:t xml:space="preserve"> - </w:t>
      </w:r>
      <w:r>
        <w:t>OWASP LLM Threats</w:t>
      </w:r>
    </w:p>
    <w:p w14:paraId="30CAAE7D" w14:textId="77777777" w:rsidR="001E4DF4" w:rsidRDefault="00413E94">
      <w:pPr>
        <w:spacing w:after="140" w:line="276" w:lineRule="auto"/>
      </w:pPr>
      <w:r>
        <w:t>Before deployment, the technical owner confirms defenses against the agent-specific failure modes:</w:t>
      </w:r>
    </w:p>
    <w:p w14:paraId="6A94BE22" w14:textId="77777777" w:rsidR="001E4DF4" w:rsidRDefault="00413E94">
      <w:pPr>
        <w:pStyle w:val="ListParagraph"/>
        <w:numPr>
          <w:ilvl w:val="0"/>
          <w:numId w:val="2"/>
        </w:numPr>
        <w:spacing w:after="80" w:line="268" w:lineRule="auto"/>
      </w:pPr>
      <w:r>
        <w:rPr>
          <w:b/>
          <w:bCs/>
          <w:color w:val="1E1E1E"/>
        </w:rPr>
        <w:t xml:space="preserve">Excessive agency. </w:t>
      </w:r>
      <w:r>
        <w:t>Tools and permissions are scoped to least privilege; the agent cannot take actions outside its defined boundary.</w:t>
      </w:r>
    </w:p>
    <w:p w14:paraId="674F1E8D" w14:textId="77777777" w:rsidR="001E4DF4" w:rsidRDefault="00413E94">
      <w:pPr>
        <w:pStyle w:val="ListParagraph"/>
        <w:numPr>
          <w:ilvl w:val="0"/>
          <w:numId w:val="2"/>
        </w:numPr>
        <w:spacing w:after="80" w:line="268" w:lineRule="auto"/>
      </w:pPr>
      <w:r>
        <w:rPr>
          <w:b/>
          <w:bCs/>
          <w:color w:val="1E1E1E"/>
        </w:rPr>
        <w:t xml:space="preserve">Prompt injection. </w:t>
      </w:r>
      <w:r>
        <w:t>Untrusted content (web pages, inbound messages, documents) cannot redirect the agent's instructions or exfiltrate data; inputs are treated as data, not commands.</w:t>
      </w:r>
    </w:p>
    <w:p w14:paraId="6153FF42" w14:textId="77777777" w:rsidR="001E4DF4" w:rsidRDefault="00413E94">
      <w:pPr>
        <w:pStyle w:val="ListParagraph"/>
        <w:numPr>
          <w:ilvl w:val="0"/>
          <w:numId w:val="2"/>
        </w:numPr>
        <w:spacing w:after="80" w:line="268" w:lineRule="auto"/>
      </w:pPr>
      <w:r>
        <w:rPr>
          <w:b/>
          <w:bCs/>
          <w:color w:val="1E1E1E"/>
        </w:rPr>
        <w:t xml:space="preserve">Data leakage. </w:t>
      </w:r>
      <w:r>
        <w:t>The agent cannot expose secrets, other clients' data, or system prompts. Outputs are constrained to its purpose.</w:t>
      </w:r>
    </w:p>
    <w:p w14:paraId="6E74605D" w14:textId="77777777" w:rsidR="001E4DF4" w:rsidRDefault="00413E94">
      <w:pPr>
        <w:pStyle w:val="Heading2"/>
      </w:pPr>
      <w:r>
        <w:t>F.  Pre-Deployment Testing, Logging &amp; Rollback</w:t>
      </w:r>
    </w:p>
    <w:p w14:paraId="01A1C461" w14:textId="77777777" w:rsidR="001E4DF4" w:rsidRDefault="00413E94">
      <w:pPr>
        <w:pStyle w:val="ListParagraph"/>
        <w:numPr>
          <w:ilvl w:val="0"/>
          <w:numId w:val="2"/>
        </w:numPr>
        <w:spacing w:after="80" w:line="268" w:lineRule="auto"/>
      </w:pPr>
      <w:r>
        <w:t>Each agent is tested against expected and adversarial inputs before launch; results are recorded.</w:t>
      </w:r>
    </w:p>
    <w:p w14:paraId="35F762A1" w14:textId="77777777" w:rsidR="001E4DF4" w:rsidRDefault="00413E94">
      <w:pPr>
        <w:pStyle w:val="ListParagraph"/>
        <w:numPr>
          <w:ilvl w:val="0"/>
          <w:numId w:val="2"/>
        </w:numPr>
        <w:spacing w:after="80" w:line="268" w:lineRule="auto"/>
      </w:pPr>
      <w:r>
        <w:t>Production agents log their actions with enough traceability to reconstruct what they did and why, and to tie any action back to a human decision-maker.</w:t>
      </w:r>
    </w:p>
    <w:p w14:paraId="6E8F8677" w14:textId="77777777" w:rsidR="001E4DF4" w:rsidRDefault="00413E94">
      <w:pPr>
        <w:pStyle w:val="ListParagraph"/>
        <w:numPr>
          <w:ilvl w:val="0"/>
          <w:numId w:val="2"/>
        </w:numPr>
        <w:spacing w:after="80" w:line="268" w:lineRule="auto"/>
      </w:pPr>
      <w:r>
        <w:t>Every ELEVATED and HIGH agent has a defined kill switch / pause and rollback procedure, and a named person who can invoke it.</w:t>
      </w:r>
    </w:p>
    <w:p w14:paraId="13266F94" w14:textId="77777777" w:rsidR="001E4DF4" w:rsidRDefault="00413E94">
      <w:pPr>
        <w:pStyle w:val="ListParagraph"/>
        <w:numPr>
          <w:ilvl w:val="0"/>
          <w:numId w:val="2"/>
        </w:numPr>
        <w:spacing w:after="80" w:line="268" w:lineRule="auto"/>
      </w:pPr>
      <w:r>
        <w:t>Each deployed system is entered in the AI System Register (Appendix C).</w:t>
      </w:r>
    </w:p>
    <w:p w14:paraId="44934D44" w14:textId="77777777" w:rsidR="001E4DF4" w:rsidRDefault="001E4DF4">
      <w:pPr>
        <w:pStyle w:val="ListParagraph"/>
        <w:numPr>
          <w:ilvl w:val="0"/>
          <w:numId w:val="2"/>
        </w:numPr>
        <w:spacing w:after="80" w:line="268" w:lineRule="auto"/>
      </w:pPr>
    </w:p>
    <w:p w14:paraId="62081500" w14:textId="77777777" w:rsidR="001E4DF4" w:rsidRDefault="00413E94">
      <w:pPr>
        <w:pStyle w:val="ListParagraph"/>
        <w:numPr>
          <w:ilvl w:val="0"/>
          <w:numId w:val="2"/>
        </w:numPr>
        <w:spacing w:after="80" w:line="268" w:lineRule="auto"/>
      </w:pPr>
      <w:r>
        <w:t>G. Post-Deployment Monitoring, Drift Detection &amp; Prompt Governance</w:t>
      </w:r>
    </w:p>
    <w:p w14:paraId="6B1A7F08" w14:textId="77777777" w:rsidR="001E4DF4" w:rsidRDefault="00413E94">
      <w:pPr>
        <w:pStyle w:val="ListParagraph"/>
        <w:numPr>
          <w:ilvl w:val="0"/>
          <w:numId w:val="2"/>
        </w:numPr>
        <w:spacing w:after="80" w:line="268" w:lineRule="auto"/>
      </w:pPr>
      <w:r>
        <w:t>Production agents undergo ongoing monitoring for output quality drift, performance degradation, and boundary violations. The Technical Owner reviews action logs at least weekly for ELEVATED and HIGH agents (monthly for LOW). Prompt or system prompt modifications require documented CAIO approval and re-testing against adversarial cases before deployment. Provider model updates trigger immediate re-validation of risk classification, boundaries, and HI checkpoints. Where feasible, deterministic settings (e.g.,</w:t>
      </w:r>
      <w:r>
        <w:t xml:space="preserve"> temperature=0) are used and all generation parameters logged for reproducibility and audit.</w:t>
      </w:r>
    </w:p>
    <w:p w14:paraId="72885488" w14:textId="77777777" w:rsidR="001E4DF4" w:rsidRDefault="00413E94">
      <w:pPr>
        <w:pStyle w:val="Heading1"/>
        <w:pBdr>
          <w:bottom w:val="single" w:sz="14" w:space="6" w:color="D4A84B"/>
        </w:pBdr>
      </w:pPr>
      <w:bookmarkStart w:id="8" w:name="_Toc232761864"/>
      <w:r>
        <w:rPr>
          <w:color w:val="A8842F"/>
        </w:rPr>
        <w:t xml:space="preserve">IX.  </w:t>
      </w:r>
      <w:r>
        <w:t>Client Engagement Standards</w:t>
      </w:r>
      <w:bookmarkEnd w:id="8"/>
    </w:p>
    <w:p w14:paraId="731FE48F" w14:textId="0897A63C" w:rsidR="001E4DF4" w:rsidRDefault="00413E94">
      <w:pPr>
        <w:spacing w:after="140" w:line="276" w:lineRule="auto"/>
      </w:pPr>
      <w:r>
        <w:t>When AI is part of a client engagement</w:t>
      </w:r>
      <w:r w:rsidR="007A68A9">
        <w:t xml:space="preserve"> - </w:t>
      </w:r>
      <w:r>
        <w:t>whether in a deliverable or a system we build and operate</w:t>
      </w:r>
      <w:r w:rsidR="007A68A9">
        <w:t xml:space="preserve"> - </w:t>
      </w:r>
      <w:r>
        <w:t>the engagement documents (SOW/contract) address:</w:t>
      </w:r>
    </w:p>
    <w:p w14:paraId="2990253B" w14:textId="77777777" w:rsidR="001E4DF4" w:rsidRDefault="00413E94">
      <w:pPr>
        <w:pStyle w:val="ListParagraph"/>
        <w:numPr>
          <w:ilvl w:val="0"/>
          <w:numId w:val="2"/>
        </w:numPr>
        <w:spacing w:after="80" w:line="268" w:lineRule="auto"/>
      </w:pPr>
      <w:r>
        <w:t>Ownership of deliverables, models, prompts, and data, and any client IP that the system processes.</w:t>
      </w:r>
    </w:p>
    <w:p w14:paraId="19F115D6" w14:textId="77777777" w:rsidR="001E4DF4" w:rsidRDefault="00413E94">
      <w:pPr>
        <w:pStyle w:val="ListParagraph"/>
        <w:numPr>
          <w:ilvl w:val="0"/>
          <w:numId w:val="2"/>
        </w:numPr>
        <w:spacing w:after="80" w:line="268" w:lineRule="auto"/>
      </w:pPr>
      <w:r>
        <w:t>Data use and confidentiality: what client data the system touches, where it is stored, retention, and a prohibition on third-party model training on client data.</w:t>
      </w:r>
    </w:p>
    <w:p w14:paraId="50DF7E92" w14:textId="77777777" w:rsidR="001E4DF4" w:rsidRDefault="00413E94">
      <w:pPr>
        <w:pStyle w:val="ListParagraph"/>
        <w:numPr>
          <w:ilvl w:val="0"/>
          <w:numId w:val="2"/>
        </w:numPr>
        <w:spacing w:after="80" w:line="268" w:lineRule="auto"/>
      </w:pPr>
      <w:r>
        <w:t>Accuracy and oversight expectations: the client understands AI assists and a human verifies; NURO does not warrant AI output as legal, financial, or professional advice.</w:t>
      </w:r>
    </w:p>
    <w:p w14:paraId="290779FD" w14:textId="77777777" w:rsidR="001E4DF4" w:rsidRDefault="00413E94">
      <w:pPr>
        <w:pStyle w:val="ListParagraph"/>
        <w:numPr>
          <w:ilvl w:val="0"/>
          <w:numId w:val="2"/>
        </w:numPr>
        <w:spacing w:after="80" w:line="268" w:lineRule="auto"/>
      </w:pPr>
      <w:r>
        <w:t>Disclosure: end users of a deployed agent are told they are interacting with AI.</w:t>
      </w:r>
    </w:p>
    <w:p w14:paraId="1EDF954F" w14:textId="77777777" w:rsidR="001E4DF4" w:rsidRDefault="00413E94">
      <w:pPr>
        <w:pStyle w:val="ListParagraph"/>
        <w:numPr>
          <w:ilvl w:val="0"/>
          <w:numId w:val="2"/>
        </w:numPr>
        <w:spacing w:after="80" w:line="268" w:lineRule="auto"/>
      </w:pPr>
      <w:r>
        <w:t>Handover responsibilities: if a client operates an agent after handover, the boundary, monitoring, and kill-switch responsibilities are documented and transferred in writing.</w:t>
      </w:r>
    </w:p>
    <w:p w14:paraId="026FCC99" w14:textId="77777777" w:rsidR="001E4DF4" w:rsidRDefault="00413E94">
      <w:pPr>
        <w:spacing w:after="140" w:line="276" w:lineRule="auto"/>
      </w:pPr>
      <w:r>
        <w:rPr>
          <w:b/>
          <w:bCs/>
          <w:color w:val="1E1E1E"/>
        </w:rPr>
        <w:t xml:space="preserve">NURO does not deploy ungoverned or unbounded agents under its name or a client's. </w:t>
      </w:r>
      <w:r>
        <w:t>The standard in this Policy travels with every system we ship.</w:t>
      </w:r>
    </w:p>
    <w:p w14:paraId="1608B558" w14:textId="3BE32F50" w:rsidR="001E4DF4" w:rsidRDefault="00413E94">
      <w:pPr>
        <w:pStyle w:val="Heading1"/>
        <w:pBdr>
          <w:bottom w:val="single" w:sz="14" w:space="6" w:color="D4A84B"/>
        </w:pBdr>
      </w:pPr>
      <w:bookmarkStart w:id="9" w:name="_Toc232761865"/>
      <w:r>
        <w:rPr>
          <w:color w:val="A8842F"/>
        </w:rPr>
        <w:t xml:space="preserve">X.  </w:t>
      </w:r>
      <w:r>
        <w:t>Prohibited Uses</w:t>
      </w:r>
      <w:r w:rsidR="007A68A9">
        <w:t xml:space="preserve"> - </w:t>
      </w:r>
      <w:r>
        <w:t>Zero Tolerance</w:t>
      </w:r>
      <w:bookmarkEnd w:id="9"/>
    </w:p>
    <w:p w14:paraId="6721A771" w14:textId="77777777" w:rsidR="001E4DF4" w:rsidRDefault="00413E94">
      <w:pPr>
        <w:spacing w:after="140" w:line="276" w:lineRule="auto"/>
      </w:pPr>
      <w:r>
        <w:t>The following are categorically prohibited. There are no exceptions for time pressure, client urgency, or workload.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E4DF4" w14:paraId="16732B9F" w14:textId="77777777">
        <w:tblPrEx>
          <w:tblCellMar>
            <w:top w:w="0" w:type="dxa"/>
            <w:bottom w:w="0" w:type="dxa"/>
          </w:tblCellMar>
        </w:tblPrEx>
        <w:tc>
          <w:tcPr>
            <w:tcW w:w="9360" w:type="dxa"/>
            <w:tcBorders>
              <w:top w:val="single" w:sz="2" w:space="0" w:color="EFEBE0"/>
              <w:left w:val="single" w:sz="24" w:space="0" w:color="1E1E1E"/>
              <w:bottom w:val="single" w:sz="2" w:space="0" w:color="EFEBE0"/>
              <w:right w:val="single" w:sz="2" w:space="0" w:color="EFEBE0"/>
            </w:tcBorders>
            <w:shd w:val="clear" w:color="auto" w:fill="EFEBE0"/>
            <w:tcMar>
              <w:top w:w="140" w:type="dxa"/>
              <w:left w:w="200" w:type="dxa"/>
              <w:bottom w:w="140" w:type="dxa"/>
              <w:right w:w="180" w:type="dxa"/>
            </w:tcMar>
          </w:tcPr>
          <w:p w14:paraId="11218CEB" w14:textId="77777777" w:rsidR="001E4DF4" w:rsidRDefault="00413E94">
            <w:pPr>
              <w:spacing w:after="60" w:line="260" w:lineRule="auto"/>
              <w:ind w:left="200"/>
            </w:pPr>
            <w:r>
              <w:rPr>
                <w:b/>
                <w:bCs/>
                <w:color w:val="1E1E1E"/>
              </w:rPr>
              <w:t>✗</w:t>
            </w:r>
            <w:r>
              <w:rPr>
                <w:b/>
                <w:bCs/>
                <w:color w:val="1E1E1E"/>
              </w:rPr>
              <w:t xml:space="preserve">  </w:t>
            </w:r>
            <w:r>
              <w:rPr>
                <w:sz w:val="20"/>
                <w:szCs w:val="20"/>
              </w:rPr>
              <w:t>Presenting AI-generated facts, citations, figures, or names in any deliverable without independent verification from a primary source.</w:t>
            </w:r>
          </w:p>
          <w:p w14:paraId="4F27D84E" w14:textId="77777777" w:rsidR="001E4DF4" w:rsidRDefault="00413E94">
            <w:pPr>
              <w:spacing w:after="60" w:line="260" w:lineRule="auto"/>
              <w:ind w:left="200"/>
            </w:pPr>
            <w:r>
              <w:rPr>
                <w:b/>
                <w:bCs/>
                <w:color w:val="1E1E1E"/>
              </w:rPr>
              <w:t>✗</w:t>
            </w:r>
            <w:r>
              <w:rPr>
                <w:b/>
                <w:bCs/>
                <w:color w:val="1E1E1E"/>
              </w:rPr>
              <w:t xml:space="preserve">  </w:t>
            </w:r>
            <w:r>
              <w:rPr>
                <w:sz w:val="20"/>
                <w:szCs w:val="20"/>
              </w:rPr>
              <w:t>Entering client-confidential data, PII, or proprietary NURO IP into a conditional or prohibited AI tool, or any tool lacking enterprise confidentiality terms.</w:t>
            </w:r>
          </w:p>
          <w:p w14:paraId="46A2065F" w14:textId="77777777" w:rsidR="001E4DF4" w:rsidRDefault="00413E94">
            <w:pPr>
              <w:spacing w:after="60" w:line="260" w:lineRule="auto"/>
              <w:ind w:left="200"/>
            </w:pPr>
            <w:r>
              <w:rPr>
                <w:b/>
                <w:bCs/>
                <w:color w:val="1E1E1E"/>
              </w:rPr>
              <w:t>✗</w:t>
            </w:r>
            <w:r>
              <w:rPr>
                <w:b/>
                <w:bCs/>
                <w:color w:val="1E1E1E"/>
              </w:rPr>
              <w:t xml:space="preserve">  </w:t>
            </w:r>
            <w:r>
              <w:rPr>
                <w:sz w:val="20"/>
                <w:szCs w:val="20"/>
              </w:rPr>
              <w:t>Shipping any client deliverable that has not passed the HI Review Step (Section VII).</w:t>
            </w:r>
          </w:p>
          <w:p w14:paraId="50DB42C7" w14:textId="77777777" w:rsidR="001E4DF4" w:rsidRDefault="00413E94">
            <w:pPr>
              <w:spacing w:after="60" w:line="260" w:lineRule="auto"/>
              <w:ind w:left="200"/>
            </w:pPr>
            <w:r>
              <w:rPr>
                <w:b/>
                <w:bCs/>
                <w:color w:val="1E1E1E"/>
              </w:rPr>
              <w:t>✗</w:t>
            </w:r>
            <w:r>
              <w:rPr>
                <w:b/>
                <w:bCs/>
                <w:color w:val="1E1E1E"/>
              </w:rPr>
              <w:t xml:space="preserve">  </w:t>
            </w:r>
            <w:r>
              <w:rPr>
                <w:sz w:val="20"/>
                <w:szCs w:val="20"/>
              </w:rPr>
              <w:t>Deploying an AI agent to production without a named business owner, technical owner, documented boundaries, and risk classification.</w:t>
            </w:r>
          </w:p>
          <w:p w14:paraId="069DA516" w14:textId="77777777" w:rsidR="001E4DF4" w:rsidRDefault="00413E94">
            <w:pPr>
              <w:spacing w:after="60" w:line="260" w:lineRule="auto"/>
              <w:ind w:left="200"/>
            </w:pPr>
            <w:r>
              <w:rPr>
                <w:b/>
                <w:bCs/>
                <w:color w:val="1E1E1E"/>
              </w:rPr>
              <w:t>✗</w:t>
            </w:r>
            <w:r>
              <w:rPr>
                <w:b/>
                <w:bCs/>
                <w:color w:val="1E1E1E"/>
              </w:rPr>
              <w:t xml:space="preserve">  </w:t>
            </w:r>
            <w:r>
              <w:rPr>
                <w:sz w:val="20"/>
                <w:szCs w:val="20"/>
              </w:rPr>
              <w:t>Granting an agent autonomous authority over consequential financial, legal, or contractual actions without a human checkpoint.</w:t>
            </w:r>
          </w:p>
          <w:p w14:paraId="68D2F9D5" w14:textId="77777777" w:rsidR="001E4DF4" w:rsidRDefault="00413E94">
            <w:pPr>
              <w:spacing w:after="60" w:line="260" w:lineRule="auto"/>
              <w:ind w:left="200"/>
            </w:pPr>
            <w:r>
              <w:rPr>
                <w:b/>
                <w:bCs/>
                <w:color w:val="1E1E1E"/>
              </w:rPr>
              <w:t>✗</w:t>
            </w:r>
            <w:r>
              <w:rPr>
                <w:b/>
                <w:bCs/>
                <w:color w:val="1E1E1E"/>
              </w:rPr>
              <w:t xml:space="preserve">  </w:t>
            </w:r>
            <w:r>
              <w:rPr>
                <w:sz w:val="20"/>
                <w:szCs w:val="20"/>
              </w:rPr>
              <w:t>Letting an AI system make legal or financial determinations about a person on a client's behalf.</w:t>
            </w:r>
          </w:p>
          <w:p w14:paraId="00C74D1B" w14:textId="77777777" w:rsidR="001E4DF4" w:rsidRDefault="00413E94">
            <w:pPr>
              <w:spacing w:after="60" w:line="260" w:lineRule="auto"/>
              <w:ind w:left="200"/>
            </w:pPr>
            <w:r>
              <w:rPr>
                <w:b/>
                <w:bCs/>
                <w:color w:val="1E1E1E"/>
              </w:rPr>
              <w:t>✗</w:t>
            </w:r>
            <w:r>
              <w:rPr>
                <w:b/>
                <w:bCs/>
                <w:color w:val="1E1E1E"/>
              </w:rPr>
              <w:t xml:space="preserve">  </w:t>
            </w:r>
            <w:r>
              <w:rPr>
                <w:sz w:val="20"/>
                <w:szCs w:val="20"/>
              </w:rPr>
              <w:t>Deploying an agent that impersonates a specific named human or conceals that it is AI where disclosure is expected or required.</w:t>
            </w:r>
          </w:p>
          <w:p w14:paraId="78E5A76C" w14:textId="77777777" w:rsidR="001E4DF4" w:rsidRDefault="00413E94">
            <w:pPr>
              <w:spacing w:after="60" w:line="260" w:lineRule="auto"/>
              <w:ind w:left="200"/>
            </w:pPr>
            <w:r>
              <w:rPr>
                <w:b/>
                <w:bCs/>
                <w:color w:val="1E1E1E"/>
              </w:rPr>
              <w:t>✗</w:t>
            </w:r>
            <w:r>
              <w:rPr>
                <w:b/>
                <w:bCs/>
                <w:color w:val="1E1E1E"/>
              </w:rPr>
              <w:t xml:space="preserve">  </w:t>
            </w:r>
            <w:r>
              <w:rPr>
                <w:sz w:val="20"/>
                <w:szCs w:val="20"/>
              </w:rPr>
              <w:t>Using AI to generate deceptive, fabricated, or misleading content, evidence, or representations to any client, customer, or authority.</w:t>
            </w:r>
          </w:p>
          <w:p w14:paraId="1D54D74B" w14:textId="1EEEF7D1" w:rsidR="001E4DF4" w:rsidRDefault="00413E94">
            <w:pPr>
              <w:spacing w:after="60" w:line="260" w:lineRule="auto"/>
              <w:ind w:left="200"/>
            </w:pPr>
            <w:r>
              <w:rPr>
                <w:b/>
                <w:bCs/>
                <w:color w:val="1E1E1E"/>
              </w:rPr>
              <w:t>✗</w:t>
            </w:r>
            <w:r>
              <w:rPr>
                <w:b/>
                <w:bCs/>
                <w:color w:val="1E1E1E"/>
              </w:rPr>
              <w:t xml:space="preserve">  </w:t>
            </w:r>
            <w:r>
              <w:rPr>
                <w:sz w:val="20"/>
                <w:szCs w:val="20"/>
              </w:rPr>
              <w:t>Using shadow AI</w:t>
            </w:r>
            <w:r w:rsidR="007A68A9">
              <w:rPr>
                <w:sz w:val="20"/>
                <w:szCs w:val="20"/>
              </w:rPr>
              <w:t xml:space="preserve"> - </w:t>
            </w:r>
            <w:r>
              <w:rPr>
                <w:sz w:val="20"/>
                <w:szCs w:val="20"/>
              </w:rPr>
              <w:t>any unapproved tool</w:t>
            </w:r>
            <w:r w:rsidR="007A68A9">
              <w:rPr>
                <w:sz w:val="20"/>
                <w:szCs w:val="20"/>
              </w:rPr>
              <w:t xml:space="preserve"> - </w:t>
            </w:r>
            <w:r>
              <w:rPr>
                <w:sz w:val="20"/>
                <w:szCs w:val="20"/>
              </w:rPr>
              <w:t>for NURO work.</w:t>
            </w:r>
          </w:p>
          <w:p w14:paraId="5AD41D41" w14:textId="77777777" w:rsidR="001E4DF4" w:rsidRDefault="00413E94">
            <w:pPr>
              <w:spacing w:after="60" w:line="260" w:lineRule="auto"/>
              <w:ind w:left="200"/>
            </w:pPr>
            <w:r>
              <w:rPr>
                <w:b/>
                <w:bCs/>
                <w:color w:val="1E1E1E"/>
              </w:rPr>
              <w:t>✗</w:t>
            </w:r>
            <w:r>
              <w:rPr>
                <w:b/>
                <w:bCs/>
                <w:color w:val="1E1E1E"/>
              </w:rPr>
              <w:t xml:space="preserve">  </w:t>
            </w:r>
            <w:r>
              <w:rPr>
                <w:sz w:val="20"/>
                <w:szCs w:val="20"/>
              </w:rPr>
              <w:t>Storing model keys, secrets, or credentials in prompts, code, or shared documents instead of the managed secrets manager.</w:t>
            </w:r>
          </w:p>
        </w:tc>
      </w:tr>
    </w:tbl>
    <w:p w14:paraId="5B5D208B" w14:textId="77777777" w:rsidR="001E4DF4" w:rsidRDefault="00413E94">
      <w:pPr>
        <w:spacing w:after="140" w:line="276" w:lineRule="auto"/>
      </w:pPr>
      <w:r>
        <w:rPr>
          <w:i/>
          <w:iCs/>
          <w:sz w:val="20"/>
          <w:szCs w:val="20"/>
        </w:rPr>
        <w:t xml:space="preserve">Violation may result in disciplinary action up to and including termination of employment or </w:t>
      </w:r>
      <w:proofErr w:type="gramStart"/>
      <w:r>
        <w:rPr>
          <w:i/>
          <w:iCs/>
          <w:sz w:val="20"/>
          <w:szCs w:val="20"/>
        </w:rPr>
        <w:t>contract, and</w:t>
      </w:r>
      <w:proofErr w:type="gramEnd"/>
      <w:r>
        <w:rPr>
          <w:i/>
          <w:iCs/>
          <w:sz w:val="20"/>
          <w:szCs w:val="20"/>
        </w:rPr>
        <w:t xml:space="preserve"> may carry personal and contractual liability.</w:t>
      </w:r>
    </w:p>
    <w:p w14:paraId="1EB64DAA" w14:textId="77777777" w:rsidR="001E4DF4" w:rsidRDefault="00413E94">
      <w:pPr>
        <w:pStyle w:val="Heading1"/>
        <w:pBdr>
          <w:bottom w:val="single" w:sz="14" w:space="6" w:color="D4A84B"/>
        </w:pBdr>
      </w:pPr>
      <w:bookmarkStart w:id="10" w:name="_Toc232761866"/>
      <w:r>
        <w:rPr>
          <w:color w:val="A8842F"/>
        </w:rPr>
        <w:t xml:space="preserve">XI.  </w:t>
      </w:r>
      <w:r>
        <w:t>Human Oversight, Roles &amp; Accountability</w:t>
      </w:r>
      <w:bookmarkEnd w:id="10"/>
    </w:p>
    <w:p w14:paraId="52CE2C14" w14:textId="77777777" w:rsidR="001E4DF4" w:rsidRDefault="00413E94">
      <w:pPr>
        <w:spacing w:after="140" w:line="276" w:lineRule="auto"/>
      </w:pPr>
      <w:r>
        <w:t>AI governance only works when accountability is named. The following roles own this Policy at NURO: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1E4DF4" w14:paraId="56C74A96" w14:textId="77777777">
        <w:tblPrEx>
          <w:tblCellMar>
            <w:top w:w="0" w:type="dxa"/>
            <w:bottom w:w="0" w:type="dxa"/>
          </w:tblCellMar>
        </w:tblPrEx>
        <w:trPr>
          <w:tblHeader/>
        </w:trPr>
        <w:tc>
          <w:tcPr>
            <w:tcW w:w="30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4A7DD362" w14:textId="77777777" w:rsidR="001E4DF4" w:rsidRDefault="00413E94">
            <w:pPr>
              <w:spacing w:line="252" w:lineRule="auto"/>
            </w:pPr>
            <w:r>
              <w:rPr>
                <w:b/>
                <w:bCs/>
                <w:color w:val="D4A84B"/>
                <w:sz w:val="20"/>
                <w:szCs w:val="20"/>
              </w:rPr>
              <w:t>Role</w:t>
            </w:r>
          </w:p>
        </w:tc>
        <w:tc>
          <w:tcPr>
            <w:tcW w:w="636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58232174" w14:textId="77777777" w:rsidR="001E4DF4" w:rsidRDefault="00413E94">
            <w:pPr>
              <w:spacing w:line="252" w:lineRule="auto"/>
            </w:pPr>
            <w:r>
              <w:rPr>
                <w:b/>
                <w:bCs/>
                <w:color w:val="D4A84B"/>
                <w:sz w:val="20"/>
                <w:szCs w:val="20"/>
              </w:rPr>
              <w:t>Accountability</w:t>
            </w:r>
          </w:p>
        </w:tc>
      </w:tr>
      <w:tr w:rsidR="001E4DF4" w14:paraId="5B6C8454" w14:textId="77777777">
        <w:tblPrEx>
          <w:tblCellMar>
            <w:top w:w="0" w:type="dxa"/>
            <w:bottom w:w="0" w:type="dxa"/>
          </w:tblCellMar>
        </w:tblPrEx>
        <w:tc>
          <w:tcPr>
            <w:tcW w:w="30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36854877" w14:textId="2E6DACB8" w:rsidR="001E4DF4" w:rsidRDefault="005E7114">
            <w:pPr>
              <w:spacing w:line="252" w:lineRule="auto"/>
            </w:pPr>
            <w:r>
              <w:rPr>
                <w:b/>
                <w:bCs/>
                <w:color w:val="1E1E1E"/>
                <w:sz w:val="19"/>
                <w:szCs w:val="19"/>
              </w:rPr>
              <w:t xml:space="preserve">Chairman/ </w:t>
            </w:r>
            <w:r w:rsidR="00413E94">
              <w:rPr>
                <w:b/>
                <w:bCs/>
                <w:color w:val="1E1E1E"/>
                <w:sz w:val="19"/>
                <w:szCs w:val="19"/>
              </w:rPr>
              <w:t>CAIO</w:t>
            </w:r>
          </w:p>
          <w:p w14:paraId="3239CD41" w14:textId="77777777" w:rsidR="001E4DF4" w:rsidRDefault="00413E94">
            <w:pPr>
              <w:spacing w:line="252" w:lineRule="auto"/>
            </w:pPr>
            <w:r>
              <w:rPr>
                <w:b/>
                <w:bCs/>
                <w:color w:val="1E1E1E"/>
                <w:sz w:val="19"/>
                <w:szCs w:val="19"/>
              </w:rPr>
              <w:t>Craig Pisaris-Henderson</w:t>
            </w:r>
          </w:p>
        </w:tc>
        <w:tc>
          <w:tcPr>
            <w:tcW w:w="6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6E841026" w14:textId="77777777" w:rsidR="001E4DF4" w:rsidRDefault="00413E94">
            <w:pPr>
              <w:spacing w:line="252" w:lineRule="auto"/>
            </w:pPr>
            <w:r>
              <w:rPr>
                <w:sz w:val="19"/>
                <w:szCs w:val="19"/>
              </w:rPr>
              <w:t>Owns this Policy and the AI governance program. Maintains the Approved Tool List and AI System Register; approves tools and agent risk classes; final authority on AI-specific risk decisions.</w:t>
            </w:r>
          </w:p>
        </w:tc>
      </w:tr>
      <w:tr w:rsidR="001E4DF4" w14:paraId="2AF354C5" w14:textId="77777777">
        <w:tblPrEx>
          <w:tblCellMar>
            <w:top w:w="0" w:type="dxa"/>
            <w:bottom w:w="0" w:type="dxa"/>
          </w:tblCellMar>
        </w:tblPrEx>
        <w:tc>
          <w:tcPr>
            <w:tcW w:w="30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6D1D7463" w14:textId="77777777" w:rsidR="001E4DF4" w:rsidRDefault="00413E94">
            <w:pPr>
              <w:spacing w:line="252" w:lineRule="auto"/>
            </w:pPr>
            <w:r>
              <w:rPr>
                <w:b/>
                <w:bCs/>
                <w:color w:val="1E1E1E"/>
                <w:sz w:val="19"/>
                <w:szCs w:val="19"/>
              </w:rPr>
              <w:t>Chief Executive Officer</w:t>
            </w:r>
          </w:p>
          <w:p w14:paraId="1E06ED0F" w14:textId="77777777" w:rsidR="001E4DF4" w:rsidRDefault="00413E94">
            <w:pPr>
              <w:spacing w:line="252" w:lineRule="auto"/>
            </w:pPr>
            <w:r>
              <w:rPr>
                <w:b/>
                <w:bCs/>
                <w:color w:val="1E1E1E"/>
                <w:sz w:val="19"/>
                <w:szCs w:val="19"/>
              </w:rPr>
              <w:t>Chase Henderson</w:t>
            </w:r>
          </w:p>
        </w:tc>
        <w:tc>
          <w:tcPr>
            <w:tcW w:w="6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AC10BEE" w14:textId="77777777" w:rsidR="001E4DF4" w:rsidRDefault="00413E94">
            <w:pPr>
              <w:spacing w:line="252" w:lineRule="auto"/>
            </w:pPr>
            <w:r>
              <w:rPr>
                <w:sz w:val="19"/>
                <w:szCs w:val="19"/>
              </w:rPr>
              <w:t>Ultimate business accountability for AI use and deployment; approves the Policy and material exceptions; owns client-facing commitments.</w:t>
            </w:r>
          </w:p>
        </w:tc>
      </w:tr>
      <w:tr w:rsidR="001E4DF4" w14:paraId="5EEC0B6A" w14:textId="77777777">
        <w:tblPrEx>
          <w:tblCellMar>
            <w:top w:w="0" w:type="dxa"/>
            <w:bottom w:w="0" w:type="dxa"/>
          </w:tblCellMar>
        </w:tblPrEx>
        <w:tc>
          <w:tcPr>
            <w:tcW w:w="30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5407E2F4" w14:textId="77777777" w:rsidR="001E4DF4" w:rsidRDefault="00413E94">
            <w:pPr>
              <w:spacing w:line="252" w:lineRule="auto"/>
            </w:pPr>
            <w:r>
              <w:rPr>
                <w:b/>
                <w:bCs/>
                <w:color w:val="1E1E1E"/>
                <w:sz w:val="19"/>
                <w:szCs w:val="19"/>
              </w:rPr>
              <w:t>Chief Operating Officer</w:t>
            </w:r>
          </w:p>
          <w:p w14:paraId="4D9A9F3B" w14:textId="77777777" w:rsidR="001E4DF4" w:rsidRDefault="00413E94">
            <w:pPr>
              <w:spacing w:line="252" w:lineRule="auto"/>
            </w:pPr>
            <w:r>
              <w:rPr>
                <w:b/>
                <w:bCs/>
                <w:color w:val="1E1E1E"/>
                <w:sz w:val="19"/>
                <w:szCs w:val="19"/>
              </w:rPr>
              <w:t>Kristin Norton</w:t>
            </w:r>
          </w:p>
        </w:tc>
        <w:tc>
          <w:tcPr>
            <w:tcW w:w="6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3FDB6630" w14:textId="77777777" w:rsidR="001E4DF4" w:rsidRDefault="00413E94">
            <w:pPr>
              <w:spacing w:line="252" w:lineRule="auto"/>
            </w:pPr>
            <w:r>
              <w:rPr>
                <w:sz w:val="19"/>
                <w:szCs w:val="19"/>
              </w:rPr>
              <w:t>Operational implementation: onboarding, training records, vendor/BPO compliance, incident log, and policy acknowledgments.</w:t>
            </w:r>
          </w:p>
        </w:tc>
      </w:tr>
      <w:tr w:rsidR="001E4DF4" w14:paraId="4764DF66" w14:textId="77777777">
        <w:tblPrEx>
          <w:tblCellMar>
            <w:top w:w="0" w:type="dxa"/>
            <w:bottom w:w="0" w:type="dxa"/>
          </w:tblCellMar>
        </w:tblPrEx>
        <w:tc>
          <w:tcPr>
            <w:tcW w:w="30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207EC264" w14:textId="77777777" w:rsidR="001E4DF4" w:rsidRDefault="00413E94">
            <w:pPr>
              <w:spacing w:line="252" w:lineRule="auto"/>
            </w:pPr>
            <w:r>
              <w:rPr>
                <w:b/>
                <w:bCs/>
                <w:color w:val="1E1E1E"/>
                <w:sz w:val="19"/>
                <w:szCs w:val="19"/>
              </w:rPr>
              <w:t>Business / Technical Owners</w:t>
            </w:r>
          </w:p>
          <w:p w14:paraId="39F44AD9" w14:textId="77777777" w:rsidR="001E4DF4" w:rsidRDefault="00413E94">
            <w:pPr>
              <w:spacing w:line="252" w:lineRule="auto"/>
            </w:pPr>
            <w:r>
              <w:rPr>
                <w:b/>
                <w:bCs/>
                <w:color w:val="1E1E1E"/>
                <w:sz w:val="19"/>
                <w:szCs w:val="19"/>
              </w:rPr>
              <w:t>(per system)</w:t>
            </w:r>
          </w:p>
        </w:tc>
        <w:tc>
          <w:tcPr>
            <w:tcW w:w="6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6BE83C79" w14:textId="77777777" w:rsidR="001E4DF4" w:rsidRDefault="00413E94">
            <w:pPr>
              <w:spacing w:line="252" w:lineRule="auto"/>
            </w:pPr>
            <w:r>
              <w:rPr>
                <w:sz w:val="19"/>
                <w:szCs w:val="19"/>
              </w:rPr>
              <w:t>Named per deployed agent (Section VIII); accountable for that system's outcome, behavior, monitoring, and rollback.</w:t>
            </w:r>
          </w:p>
        </w:tc>
      </w:tr>
      <w:tr w:rsidR="001E4DF4" w14:paraId="43473275" w14:textId="77777777">
        <w:tblPrEx>
          <w:tblCellMar>
            <w:top w:w="0" w:type="dxa"/>
            <w:bottom w:w="0" w:type="dxa"/>
          </w:tblCellMar>
        </w:tblPrEx>
        <w:tc>
          <w:tcPr>
            <w:tcW w:w="30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03DB260C" w14:textId="77777777" w:rsidR="001E4DF4" w:rsidRDefault="00413E94">
            <w:pPr>
              <w:spacing w:line="252" w:lineRule="auto"/>
            </w:pPr>
            <w:r>
              <w:rPr>
                <w:b/>
                <w:bCs/>
                <w:color w:val="1E1E1E"/>
                <w:sz w:val="19"/>
                <w:szCs w:val="19"/>
              </w:rPr>
              <w:t>All Personnel</w:t>
            </w:r>
          </w:p>
        </w:tc>
        <w:tc>
          <w:tcPr>
            <w:tcW w:w="63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94F539C" w14:textId="77777777" w:rsidR="001E4DF4" w:rsidRDefault="00413E94">
            <w:pPr>
              <w:spacing w:line="252" w:lineRule="auto"/>
            </w:pPr>
            <w:r>
              <w:rPr>
                <w:sz w:val="19"/>
                <w:szCs w:val="19"/>
              </w:rPr>
              <w:t>Perform the HI Step, use only approved tools, protect data, and report incidents. Responsibility for AI-assisted work is personal and non-delegable.</w:t>
            </w:r>
          </w:p>
        </w:tc>
      </w:tr>
    </w:tbl>
    <w:p w14:paraId="1D67817B" w14:textId="77777777" w:rsidR="001E4DF4" w:rsidRDefault="00413E94">
      <w:pPr>
        <w:pStyle w:val="Heading1"/>
        <w:pBdr>
          <w:bottom w:val="single" w:sz="14" w:space="6" w:color="D4A84B"/>
        </w:pBdr>
      </w:pPr>
      <w:bookmarkStart w:id="11" w:name="_Toc232761867"/>
      <w:r>
        <w:rPr>
          <w:color w:val="A8842F"/>
        </w:rPr>
        <w:t xml:space="preserve">XII.  </w:t>
      </w:r>
      <w:r>
        <w:t>Incident Response &amp; Reporting</w:t>
      </w:r>
      <w:bookmarkEnd w:id="11"/>
    </w:p>
    <w:p w14:paraId="26DF1065" w14:textId="77777777" w:rsidR="001E4DF4" w:rsidRDefault="00413E94">
      <w:pPr>
        <w:spacing w:after="140" w:line="276" w:lineRule="auto"/>
      </w:pPr>
      <w:r>
        <w:t>An AI incident includes a fabricated fact reaching a client, confidential data exposed to an unapproved tool, an agent acting outside its boundary, or any AI-related security or accuracy failure.</w:t>
      </w:r>
    </w:p>
    <w:p w14:paraId="5684BBD2" w14:textId="77777777" w:rsidR="001E4DF4" w:rsidRDefault="00413E94">
      <w:pPr>
        <w:pStyle w:val="ListParagraph"/>
        <w:numPr>
          <w:ilvl w:val="0"/>
          <w:numId w:val="4"/>
        </w:numPr>
        <w:spacing w:after="80" w:line="268" w:lineRule="auto"/>
      </w:pPr>
      <w:r>
        <w:t>Report to the CAIO and COO within 24 hours of discovery. Do not conceal or delay.</w:t>
      </w:r>
    </w:p>
    <w:p w14:paraId="3D264BEB" w14:textId="77777777" w:rsidR="001E4DF4" w:rsidRDefault="00413E94">
      <w:pPr>
        <w:pStyle w:val="ListParagraph"/>
        <w:numPr>
          <w:ilvl w:val="0"/>
          <w:numId w:val="4"/>
        </w:numPr>
        <w:spacing w:after="80" w:line="268" w:lineRule="auto"/>
      </w:pPr>
      <w:r>
        <w:t>Contain: pause or invoke the kill switch on any misbehaving agent; stop further use of any tool that exposed data.</w:t>
      </w:r>
    </w:p>
    <w:p w14:paraId="013B4E0B" w14:textId="77777777" w:rsidR="001E4DF4" w:rsidRDefault="00413E94">
      <w:pPr>
        <w:pStyle w:val="ListParagraph"/>
        <w:numPr>
          <w:ilvl w:val="0"/>
          <w:numId w:val="4"/>
        </w:numPr>
        <w:spacing w:after="80" w:line="268" w:lineRule="auto"/>
      </w:pPr>
      <w:r>
        <w:t>Log the incident in the confidential AI Incident Log (what happened, systems and data involved, who was affected).</w:t>
      </w:r>
    </w:p>
    <w:p w14:paraId="5B2D9D0A" w14:textId="0FED404E" w:rsidR="001E4DF4" w:rsidRDefault="00413E94">
      <w:pPr>
        <w:pStyle w:val="ListParagraph"/>
        <w:numPr>
          <w:ilvl w:val="0"/>
          <w:numId w:val="4"/>
        </w:numPr>
        <w:spacing w:after="80" w:line="268" w:lineRule="auto"/>
      </w:pPr>
      <w:r>
        <w:t>Root</w:t>
      </w:r>
      <w:r w:rsidR="005E7114">
        <w:t xml:space="preserve"> </w:t>
      </w:r>
      <w:r>
        <w:t>cause: determine whether the HI Step was skipped, performed inadequately, or structurally insufficient</w:t>
      </w:r>
      <w:r w:rsidR="005E7114">
        <w:t>,</w:t>
      </w:r>
      <w:r>
        <w:t xml:space="preserve"> and whether a boundary or control failed.</w:t>
      </w:r>
    </w:p>
    <w:p w14:paraId="7FEE6671" w14:textId="77777777" w:rsidR="001E4DF4" w:rsidRDefault="00413E94">
      <w:pPr>
        <w:pStyle w:val="ListParagraph"/>
        <w:numPr>
          <w:ilvl w:val="0"/>
          <w:numId w:val="4"/>
        </w:numPr>
        <w:spacing w:after="80" w:line="268" w:lineRule="auto"/>
      </w:pPr>
      <w:r>
        <w:t>Notify affected clients where contract, law, or honest dealing requires it; correct any inaccuracy that reached a client without regard to convenience.</w:t>
      </w:r>
    </w:p>
    <w:p w14:paraId="77DCF23C" w14:textId="38DED297" w:rsidR="001E4DF4" w:rsidRDefault="00413E94">
      <w:pPr>
        <w:pStyle w:val="ListParagraph"/>
        <w:numPr>
          <w:ilvl w:val="0"/>
          <w:numId w:val="4"/>
        </w:numPr>
        <w:spacing w:after="80" w:line="268" w:lineRule="auto"/>
      </w:pPr>
      <w:r>
        <w:t xml:space="preserve">Remediate: strengthen the </w:t>
      </w:r>
      <w:r w:rsidR="005E7114">
        <w:t>failed</w:t>
      </w:r>
      <w:r>
        <w:t xml:space="preserve"> </w:t>
      </w:r>
      <w:r w:rsidR="005E7114">
        <w:t>control</w:t>
      </w:r>
      <w:r>
        <w:t xml:space="preserve"> training; update this Policy within 30 days of any material incident.</w:t>
      </w:r>
    </w:p>
    <w:p w14:paraId="7245EB4B" w14:textId="77777777" w:rsidR="001E4DF4" w:rsidRDefault="00413E94">
      <w:pPr>
        <w:pStyle w:val="Heading1"/>
        <w:pBdr>
          <w:bottom w:val="single" w:sz="14" w:space="6" w:color="D4A84B"/>
        </w:pBdr>
      </w:pPr>
      <w:bookmarkStart w:id="12" w:name="_Toc232761868"/>
      <w:r>
        <w:rPr>
          <w:color w:val="A8842F"/>
        </w:rPr>
        <w:t xml:space="preserve">XIII.  </w:t>
      </w:r>
      <w:r>
        <w:t>Monitoring, Audit &amp; Continuous Improvement</w:t>
      </w:r>
      <w:bookmarkEnd w:id="12"/>
    </w:p>
    <w:p w14:paraId="7F60940E" w14:textId="77777777" w:rsidR="001E4DF4" w:rsidRDefault="00413E94">
      <w:pPr>
        <w:pStyle w:val="ListParagraph"/>
        <w:numPr>
          <w:ilvl w:val="0"/>
          <w:numId w:val="2"/>
        </w:numPr>
        <w:spacing w:after="80" w:line="268" w:lineRule="auto"/>
      </w:pPr>
      <w:r>
        <w:rPr>
          <w:b/>
          <w:bCs/>
          <w:color w:val="1E1E1E"/>
        </w:rPr>
        <w:t xml:space="preserve">AI System Register. </w:t>
      </w:r>
      <w:r>
        <w:t>NURO maintains a living inventory of every AI tool in use and every agent in production (Appendix C), reviewed at least quarterly. This satisfies the “Map” function of NIST AI RMF and the inventory expectations of ISO 42001.</w:t>
      </w:r>
    </w:p>
    <w:p w14:paraId="371CC802" w14:textId="77777777" w:rsidR="001E4DF4" w:rsidRDefault="00413E94">
      <w:pPr>
        <w:pStyle w:val="ListParagraph"/>
        <w:numPr>
          <w:ilvl w:val="0"/>
          <w:numId w:val="2"/>
        </w:numPr>
        <w:spacing w:after="80" w:line="268" w:lineRule="auto"/>
      </w:pPr>
      <w:r>
        <w:rPr>
          <w:b/>
          <w:bCs/>
          <w:color w:val="1E1E1E"/>
        </w:rPr>
        <w:t xml:space="preserve">Quarterly review. </w:t>
      </w:r>
      <w:r>
        <w:t>The CAIO reviews the Approved Tool List, the Register, open incidents, and any new regulation or guidance relevant to client jurisdictions.</w:t>
      </w:r>
    </w:p>
    <w:p w14:paraId="6631D65B" w14:textId="77777777" w:rsidR="001E4DF4" w:rsidRDefault="00413E94">
      <w:pPr>
        <w:pStyle w:val="ListParagraph"/>
        <w:numPr>
          <w:ilvl w:val="0"/>
          <w:numId w:val="2"/>
        </w:numPr>
        <w:spacing w:after="80" w:line="268" w:lineRule="auto"/>
      </w:pPr>
      <w:r>
        <w:rPr>
          <w:b/>
          <w:bCs/>
          <w:color w:val="1E1E1E"/>
        </w:rPr>
        <w:t xml:space="preserve">Annual policy review. </w:t>
      </w:r>
      <w:r>
        <w:t>This Policy is reviewed at least annually.</w:t>
      </w:r>
    </w:p>
    <w:p w14:paraId="20F954E6" w14:textId="77777777" w:rsidR="001E4DF4" w:rsidRDefault="00413E94">
      <w:pPr>
        <w:spacing w:after="140" w:line="276" w:lineRule="auto"/>
      </w:pPr>
      <w:r>
        <w:t>This Policy is additionally reviewed and updated whenever: (a) a new AI tool or agent class enters production; (b) new applicable regulation or guidance is issued; (c) a material AI incident occurs; or (d) AI capability changes create a risk category this Policy does not address.</w:t>
      </w:r>
    </w:p>
    <w:p w14:paraId="183ACE5A" w14:textId="77777777" w:rsidR="001E4DF4" w:rsidRDefault="00413E94">
      <w:pPr>
        <w:pStyle w:val="Heading1"/>
        <w:pBdr>
          <w:bottom w:val="single" w:sz="14" w:space="6" w:color="D4A84B"/>
        </w:pBdr>
      </w:pPr>
      <w:bookmarkStart w:id="13" w:name="_Toc232761869"/>
      <w:r>
        <w:rPr>
          <w:color w:val="A8842F"/>
        </w:rPr>
        <w:t xml:space="preserve">XIV.  </w:t>
      </w:r>
      <w:r>
        <w:t>Training &amp; Awareness</w:t>
      </w:r>
      <w:bookmarkEnd w:id="1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4060"/>
        <w:gridCol w:w="2300"/>
      </w:tblGrid>
      <w:tr w:rsidR="001E4DF4" w14:paraId="7C491477" w14:textId="77777777">
        <w:tblPrEx>
          <w:tblCellMar>
            <w:top w:w="0" w:type="dxa"/>
            <w:bottom w:w="0" w:type="dxa"/>
          </w:tblCellMar>
        </w:tblPrEx>
        <w:trPr>
          <w:tblHeader/>
        </w:trPr>
        <w:tc>
          <w:tcPr>
            <w:tcW w:w="30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230B2186" w14:textId="77777777" w:rsidR="001E4DF4" w:rsidRDefault="00413E94">
            <w:pPr>
              <w:spacing w:line="252" w:lineRule="auto"/>
            </w:pPr>
            <w:r>
              <w:rPr>
                <w:b/>
                <w:bCs/>
                <w:color w:val="D4A84B"/>
                <w:sz w:val="20"/>
                <w:szCs w:val="20"/>
              </w:rPr>
              <w:t>Training</w:t>
            </w:r>
          </w:p>
        </w:tc>
        <w:tc>
          <w:tcPr>
            <w:tcW w:w="406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7D11C873" w14:textId="77777777" w:rsidR="001E4DF4" w:rsidRDefault="00413E94">
            <w:pPr>
              <w:spacing w:line="252" w:lineRule="auto"/>
            </w:pPr>
            <w:r>
              <w:rPr>
                <w:b/>
                <w:bCs/>
                <w:color w:val="D4A84B"/>
                <w:sz w:val="20"/>
                <w:szCs w:val="20"/>
              </w:rPr>
              <w:t>Scope</w:t>
            </w:r>
          </w:p>
        </w:tc>
        <w:tc>
          <w:tcPr>
            <w:tcW w:w="2300" w:type="dxa"/>
            <w:tcBorders>
              <w:top w:val="single" w:sz="2" w:space="0" w:color="1E1E1E"/>
              <w:left w:val="single" w:sz="2" w:space="0" w:color="1E1E1E"/>
              <w:bottom w:val="single" w:sz="2" w:space="0" w:color="1E1E1E"/>
              <w:right w:val="single" w:sz="2" w:space="0" w:color="1E1E1E"/>
            </w:tcBorders>
            <w:shd w:val="clear" w:color="auto" w:fill="1E1E1E"/>
            <w:tcMar>
              <w:top w:w="90" w:type="dxa"/>
              <w:left w:w="130" w:type="dxa"/>
              <w:bottom w:w="90" w:type="dxa"/>
              <w:right w:w="130" w:type="dxa"/>
            </w:tcMar>
            <w:vAlign w:val="center"/>
          </w:tcPr>
          <w:p w14:paraId="2E43DB84" w14:textId="77777777" w:rsidR="001E4DF4" w:rsidRDefault="00413E94">
            <w:pPr>
              <w:spacing w:line="252" w:lineRule="auto"/>
            </w:pPr>
            <w:r>
              <w:rPr>
                <w:b/>
                <w:bCs/>
                <w:color w:val="D4A84B"/>
                <w:sz w:val="20"/>
                <w:szCs w:val="20"/>
              </w:rPr>
              <w:t>Frequency</w:t>
            </w:r>
          </w:p>
        </w:tc>
      </w:tr>
      <w:tr w:rsidR="001E4DF4" w14:paraId="4818CFF3" w14:textId="77777777">
        <w:tblPrEx>
          <w:tblCellMar>
            <w:top w:w="0" w:type="dxa"/>
            <w:bottom w:w="0" w:type="dxa"/>
          </w:tblCellMar>
        </w:tblPrEx>
        <w:tc>
          <w:tcPr>
            <w:tcW w:w="30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1AA31E4E" w14:textId="77777777" w:rsidR="001E4DF4" w:rsidRDefault="00413E94">
            <w:pPr>
              <w:spacing w:line="252" w:lineRule="auto"/>
            </w:pPr>
            <w:r>
              <w:rPr>
                <w:b/>
                <w:bCs/>
                <w:color w:val="1E1E1E"/>
                <w:sz w:val="19"/>
                <w:szCs w:val="19"/>
              </w:rPr>
              <w:t>Policy Onboarding</w:t>
            </w:r>
          </w:p>
        </w:tc>
        <w:tc>
          <w:tcPr>
            <w:tcW w:w="40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7ECE6096" w14:textId="77777777" w:rsidR="001E4DF4" w:rsidRDefault="00413E94">
            <w:pPr>
              <w:spacing w:line="252" w:lineRule="auto"/>
            </w:pPr>
            <w:r>
              <w:rPr>
                <w:sz w:val="19"/>
                <w:szCs w:val="19"/>
              </w:rPr>
              <w:t>Full policy, the HI Step, data rules, prohibited uses, tool request workflow.</w:t>
            </w:r>
          </w:p>
        </w:tc>
        <w:tc>
          <w:tcPr>
            <w:tcW w:w="23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4E5C5AEB" w14:textId="77777777" w:rsidR="001E4DF4" w:rsidRDefault="00413E94">
            <w:pPr>
              <w:spacing w:line="252" w:lineRule="auto"/>
            </w:pPr>
            <w:r>
              <w:rPr>
                <w:sz w:val="19"/>
                <w:szCs w:val="19"/>
              </w:rPr>
              <w:t>At hire/engagement, before any AI use.</w:t>
            </w:r>
          </w:p>
        </w:tc>
      </w:tr>
      <w:tr w:rsidR="001E4DF4" w14:paraId="6BA84C62" w14:textId="77777777">
        <w:tblPrEx>
          <w:tblCellMar>
            <w:top w:w="0" w:type="dxa"/>
            <w:bottom w:w="0" w:type="dxa"/>
          </w:tblCellMar>
        </w:tblPrEx>
        <w:tc>
          <w:tcPr>
            <w:tcW w:w="30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7AEE6A4D" w14:textId="77777777" w:rsidR="001E4DF4" w:rsidRDefault="00413E94">
            <w:pPr>
              <w:spacing w:line="252" w:lineRule="auto"/>
            </w:pPr>
            <w:r>
              <w:rPr>
                <w:b/>
                <w:bCs/>
                <w:color w:val="1E1E1E"/>
                <w:sz w:val="19"/>
                <w:szCs w:val="19"/>
              </w:rPr>
              <w:t>Hallucination &amp; Verification</w:t>
            </w:r>
          </w:p>
        </w:tc>
        <w:tc>
          <w:tcPr>
            <w:tcW w:w="40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277101B0" w14:textId="77777777" w:rsidR="001E4DF4" w:rsidRDefault="00413E94">
            <w:pPr>
              <w:spacing w:line="252" w:lineRule="auto"/>
            </w:pPr>
            <w:r>
              <w:rPr>
                <w:sz w:val="19"/>
                <w:szCs w:val="19"/>
              </w:rPr>
              <w:t>How models fabricate; how to verify facts, figures, and citations.</w:t>
            </w:r>
          </w:p>
        </w:tc>
        <w:tc>
          <w:tcPr>
            <w:tcW w:w="23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355A7E33" w14:textId="77777777" w:rsidR="001E4DF4" w:rsidRDefault="00413E94">
            <w:pPr>
              <w:spacing w:line="252" w:lineRule="auto"/>
            </w:pPr>
            <w:r>
              <w:rPr>
                <w:sz w:val="19"/>
                <w:szCs w:val="19"/>
              </w:rPr>
              <w:t>Annual minimum.</w:t>
            </w:r>
          </w:p>
        </w:tc>
      </w:tr>
      <w:tr w:rsidR="001E4DF4" w14:paraId="76765FCF" w14:textId="77777777">
        <w:tblPrEx>
          <w:tblCellMar>
            <w:top w:w="0" w:type="dxa"/>
            <w:bottom w:w="0" w:type="dxa"/>
          </w:tblCellMar>
        </w:tblPrEx>
        <w:tc>
          <w:tcPr>
            <w:tcW w:w="30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32872DFC" w14:textId="77777777" w:rsidR="001E4DF4" w:rsidRDefault="00413E94">
            <w:pPr>
              <w:spacing w:line="252" w:lineRule="auto"/>
            </w:pPr>
            <w:r>
              <w:rPr>
                <w:b/>
                <w:bCs/>
                <w:color w:val="1E1E1E"/>
                <w:sz w:val="19"/>
                <w:szCs w:val="19"/>
              </w:rPr>
              <w:t>Agent-Builder Training</w:t>
            </w:r>
          </w:p>
        </w:tc>
        <w:tc>
          <w:tcPr>
            <w:tcW w:w="40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6FBE30F" w14:textId="014EC70B" w:rsidR="001E4DF4" w:rsidRDefault="00413E94">
            <w:pPr>
              <w:spacing w:line="252" w:lineRule="auto"/>
            </w:pPr>
            <w:r>
              <w:rPr>
                <w:sz w:val="19"/>
                <w:szCs w:val="19"/>
              </w:rPr>
              <w:t>Bounded autonomy, risk classes, OWASP LLM threats, logging, kill switch</w:t>
            </w:r>
            <w:r w:rsidR="007A68A9">
              <w:rPr>
                <w:sz w:val="19"/>
                <w:szCs w:val="19"/>
              </w:rPr>
              <w:t xml:space="preserve"> - </w:t>
            </w:r>
            <w:r>
              <w:rPr>
                <w:sz w:val="19"/>
                <w:szCs w:val="19"/>
              </w:rPr>
              <w:t>for anyone who builds or operates agents.</w:t>
            </w:r>
          </w:p>
        </w:tc>
        <w:tc>
          <w:tcPr>
            <w:tcW w:w="23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8426702" w14:textId="77777777" w:rsidR="001E4DF4" w:rsidRDefault="00413E94">
            <w:pPr>
              <w:spacing w:line="252" w:lineRule="auto"/>
            </w:pPr>
            <w:r>
              <w:rPr>
                <w:sz w:val="19"/>
                <w:szCs w:val="19"/>
              </w:rPr>
              <w:t>Before building; annual refresh.</w:t>
            </w:r>
          </w:p>
        </w:tc>
      </w:tr>
      <w:tr w:rsidR="001E4DF4" w14:paraId="6D23E010" w14:textId="77777777">
        <w:tblPrEx>
          <w:tblCellMar>
            <w:top w:w="0" w:type="dxa"/>
            <w:bottom w:w="0" w:type="dxa"/>
          </w:tblCellMar>
        </w:tblPrEx>
        <w:tc>
          <w:tcPr>
            <w:tcW w:w="3000" w:type="dxa"/>
            <w:tcBorders>
              <w:top w:val="single" w:sz="2" w:space="0" w:color="D8D2C4"/>
              <w:left w:val="single" w:sz="2" w:space="0" w:color="D8D2C4"/>
              <w:bottom w:val="single" w:sz="2" w:space="0" w:color="D8D2C4"/>
              <w:right w:val="single" w:sz="2" w:space="0" w:color="D8D2C4"/>
            </w:tcBorders>
            <w:shd w:val="clear" w:color="auto" w:fill="EFEBE0"/>
            <w:tcMar>
              <w:top w:w="90" w:type="dxa"/>
              <w:left w:w="130" w:type="dxa"/>
              <w:bottom w:w="90" w:type="dxa"/>
              <w:right w:w="130" w:type="dxa"/>
            </w:tcMar>
            <w:vAlign w:val="center"/>
          </w:tcPr>
          <w:p w14:paraId="36468F39" w14:textId="77777777" w:rsidR="001E4DF4" w:rsidRDefault="00413E94">
            <w:pPr>
              <w:spacing w:line="252" w:lineRule="auto"/>
            </w:pPr>
            <w:r>
              <w:rPr>
                <w:b/>
                <w:bCs/>
                <w:color w:val="1E1E1E"/>
                <w:sz w:val="19"/>
                <w:szCs w:val="19"/>
              </w:rPr>
              <w:t>Tool-Specific Briefing</w:t>
            </w:r>
          </w:p>
        </w:tc>
        <w:tc>
          <w:tcPr>
            <w:tcW w:w="406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4BF13D52" w14:textId="77777777" w:rsidR="001E4DF4" w:rsidRDefault="00413E94">
            <w:pPr>
              <w:spacing w:line="252" w:lineRule="auto"/>
            </w:pPr>
            <w:r>
              <w:rPr>
                <w:sz w:val="19"/>
                <w:szCs w:val="19"/>
              </w:rPr>
              <w:t>Features, limits, and data practices of each newly approved tool.</w:t>
            </w:r>
          </w:p>
        </w:tc>
        <w:tc>
          <w:tcPr>
            <w:tcW w:w="2300" w:type="dxa"/>
            <w:tcBorders>
              <w:top w:val="single" w:sz="2" w:space="0" w:color="D8D2C4"/>
              <w:left w:val="single" w:sz="2" w:space="0" w:color="D8D2C4"/>
              <w:bottom w:val="single" w:sz="2" w:space="0" w:color="D8D2C4"/>
              <w:right w:val="single" w:sz="2" w:space="0" w:color="D8D2C4"/>
            </w:tcBorders>
            <w:tcMar>
              <w:top w:w="90" w:type="dxa"/>
              <w:left w:w="130" w:type="dxa"/>
              <w:bottom w:w="90" w:type="dxa"/>
              <w:right w:w="130" w:type="dxa"/>
            </w:tcMar>
            <w:vAlign w:val="center"/>
          </w:tcPr>
          <w:p w14:paraId="00CA54CD" w14:textId="77777777" w:rsidR="001E4DF4" w:rsidRDefault="00413E94">
            <w:pPr>
              <w:spacing w:line="252" w:lineRule="auto"/>
            </w:pPr>
            <w:r>
              <w:rPr>
                <w:sz w:val="19"/>
                <w:szCs w:val="19"/>
              </w:rPr>
              <w:t>On approval of each new tool.</w:t>
            </w:r>
          </w:p>
        </w:tc>
      </w:tr>
    </w:tbl>
    <w:p w14:paraId="1457AA5F" w14:textId="77777777" w:rsidR="001E4DF4" w:rsidRDefault="00413E94">
      <w:pPr>
        <w:pStyle w:val="Heading1"/>
        <w:pBdr>
          <w:bottom w:val="single" w:sz="14" w:space="6" w:color="D4A84B"/>
        </w:pBdr>
      </w:pPr>
      <w:bookmarkStart w:id="14" w:name="_Toc232761870"/>
      <w:r>
        <w:rPr>
          <w:color w:val="A8842F"/>
        </w:rPr>
        <w:t xml:space="preserve">XV.  </w:t>
      </w:r>
      <w:r>
        <w:t>Reservation of Rights &amp; Amendment</w:t>
      </w:r>
      <w:bookmarkEnd w:id="14"/>
    </w:p>
    <w:p w14:paraId="022FB464" w14:textId="77777777" w:rsidR="001E4DF4" w:rsidRDefault="00413E94">
      <w:pPr>
        <w:spacing w:after="140" w:line="276" w:lineRule="auto"/>
      </w:pPr>
      <w:r>
        <w:t>NURO expressly reserves the following rights with respect to this Policy. These provisions are in addition to, and do not limit, the review and revision process in Section XIII.</w:t>
      </w:r>
    </w:p>
    <w:p w14:paraId="7B280471" w14:textId="77777777" w:rsidR="001E4DF4" w:rsidRDefault="00413E94">
      <w:pPr>
        <w:pStyle w:val="Heading2"/>
      </w:pPr>
      <w:r>
        <w:t>A.  Amendment at Sole Discretion</w:t>
      </w:r>
    </w:p>
    <w:p w14:paraId="493F5206" w14:textId="77777777" w:rsidR="001E4DF4" w:rsidRDefault="00413E94">
      <w:pPr>
        <w:spacing w:after="140" w:line="276" w:lineRule="auto"/>
      </w:pPr>
      <w:r>
        <w:t>NURO may amend, modify, supplement, suspend, or revoke this Policy, in whole or in part, at any time and for any reason, in its sole and absolute discretion, with or without prior notice. Authority to issue amendments rests with the CAIO and the CEO. An amendment is effective immediately upon issuance unless a later effective date is stated.</w:t>
      </w:r>
    </w:p>
    <w:p w14:paraId="1D3A7B09" w14:textId="77777777" w:rsidR="001E4DF4" w:rsidRDefault="00413E94">
      <w:pPr>
        <w:pStyle w:val="Heading2"/>
      </w:pPr>
      <w:r>
        <w:t xml:space="preserve">B.  Application to Ongoing Work &amp; </w:t>
      </w:r>
      <w:proofErr w:type="gramStart"/>
      <w:r>
        <w:t>Newly-Known</w:t>
      </w:r>
      <w:proofErr w:type="gramEnd"/>
      <w:r>
        <w:t xml:space="preserve"> Standards</w:t>
      </w:r>
    </w:p>
    <w:p w14:paraId="678ECD5A" w14:textId="2C747EE1" w:rsidR="001E4DF4" w:rsidRDefault="00413E94">
      <w:pPr>
        <w:spacing w:after="140" w:line="276" w:lineRule="auto"/>
      </w:pPr>
      <w:r>
        <w:t>Each amendment governs all work, deliverables, AI tools, and deployed systems from its effective date forward, including those already in progress. Where AI capabilities, risks, laws, or guidance emerge that were not known when earlier work was performed, NURO reserves the right to apply the updated Policy to existing tools, deliverables, and deployed agents</w:t>
      </w:r>
      <w:r w:rsidR="007A68A9">
        <w:t xml:space="preserve"> - </w:t>
      </w:r>
      <w:r>
        <w:t>and to require that prior work be re-reviewed, corrected, paused, or brought into compliance</w:t>
      </w:r>
      <w:r w:rsidR="007A68A9">
        <w:t xml:space="preserve"> - </w:t>
      </w:r>
      <w:r>
        <w:t>regardless of whether the work met the standards in effect at the time it was done. The version of this Policy in effect at the time of evaluation governs the required state of any tool, deliverable, or system going forward.</w:t>
      </w:r>
    </w:p>
    <w:p w14:paraId="6C68E1AA" w14:textId="77777777" w:rsidR="001E4DF4" w:rsidRDefault="00413E94">
      <w:pPr>
        <w:pStyle w:val="Heading2"/>
      </w:pPr>
      <w:r>
        <w:t>C.  Retroactive Application</w:t>
      </w:r>
    </w:p>
    <w:p w14:paraId="0EA62D26" w14:textId="4C339B6A" w:rsidR="001E4DF4" w:rsidRDefault="00413E94">
      <w:pPr>
        <w:spacing w:after="140" w:line="276" w:lineRule="auto"/>
      </w:pPr>
      <w:r>
        <w:t>NURO reserves the right to apply this Policy, and any amendment to it, retroactively</w:t>
      </w:r>
      <w:r w:rsidR="007A68A9">
        <w:t xml:space="preserve"> - </w:t>
      </w:r>
      <w:r>
        <w:t>including to work, deliverables, communications, AI tools, and deployed systems created or performed before the amendment's effective date, and including conduct that complied with the standards in effect at the time it occurred. NURO may evaluate, re-characterize, and act upon prior conduct under the current version of this Policy, and may require remediation of, or take corrective or disciplinary action in connection with, such prior conduct. No person acquires a right to have past conduct judged solely u</w:t>
      </w:r>
      <w:r>
        <w:t>nder a prior or superseded version of this Policy.</w:t>
      </w:r>
    </w:p>
    <w:p w14:paraId="181EBDFC" w14:textId="77777777" w:rsidR="001E4DF4" w:rsidRDefault="00413E94">
      <w:pPr>
        <w:pStyle w:val="Heading2"/>
      </w:pPr>
      <w:r>
        <w:t>D.  No Vested Rights; Not a Contract</w:t>
      </w:r>
    </w:p>
    <w:p w14:paraId="6E6B2258" w14:textId="77777777" w:rsidR="001E4DF4" w:rsidRDefault="00413E94">
      <w:pPr>
        <w:spacing w:after="140" w:line="276" w:lineRule="auto"/>
      </w:pPr>
      <w:r>
        <w:t>This Policy is a statement of NURO's internal governance standards. It is not a contract, creates no contractual or vested rights, and does not alter the at-will nature of any employment relationship or the terms of any contractor or vendor agreement. No prior version, prior practice, or prior approval limits NURO's right to apply the current Policy. To the extent this Policy conflicts with a signed agreement, the signed agreement controls as to that party.</w:t>
      </w:r>
    </w:p>
    <w:p w14:paraId="1F1173D8" w14:textId="77777777" w:rsidR="001E4DF4" w:rsidRDefault="00413E94">
      <w:pPr>
        <w:pStyle w:val="Heading2"/>
      </w:pPr>
      <w:r>
        <w:t>E.  Acceptance Through Continued Work</w:t>
      </w:r>
    </w:p>
    <w:p w14:paraId="7B95F244" w14:textId="77777777" w:rsidR="001E4DF4" w:rsidRDefault="00413E94">
      <w:pPr>
        <w:spacing w:after="140" w:line="276" w:lineRule="auto"/>
      </w:pPr>
      <w:r>
        <w:t>Continued performance of work on behalf of NURO after any amendment constitutes acceptance of the amended Policy. Each person is responsible for complying with the most current version, which NURO will make available.</w:t>
      </w:r>
    </w:p>
    <w:p w14:paraId="427C21E0" w14:textId="77777777" w:rsidR="001E4DF4" w:rsidRDefault="00413E94">
      <w:pPr>
        <w:pStyle w:val="Heading2"/>
      </w:pPr>
      <w:r>
        <w:t>F.  Controlling Version</w:t>
      </w:r>
    </w:p>
    <w:p w14:paraId="2F2C5BED" w14:textId="77777777" w:rsidR="001E4DF4" w:rsidRDefault="00413E94">
      <w:pPr>
        <w:spacing w:after="140" w:line="276" w:lineRule="auto"/>
      </w:pPr>
      <w:r>
        <w:t>The most current version maintained by the CAIO is the controlling version and supersedes any printed, cached, forwarded, or previously distributed copy. Where any conflict exists between copies, the latest issued version governs.</w:t>
      </w:r>
    </w:p>
    <w:p w14:paraId="53CF6CDC" w14:textId="77777777" w:rsidR="001E4DF4" w:rsidRDefault="00413E94">
      <w:pPr>
        <w:pStyle w:val="Heading1"/>
        <w:pBdr>
          <w:bottom w:val="single" w:sz="14" w:space="6" w:color="D4A84B"/>
        </w:pBdr>
      </w:pPr>
      <w:bookmarkStart w:id="15" w:name="_Toc232761871"/>
      <w:r>
        <w:rPr>
          <w:color w:val="A8842F"/>
        </w:rPr>
        <w:t xml:space="preserve">XVI.  </w:t>
      </w:r>
      <w:r>
        <w:t>Affirmation</w:t>
      </w:r>
      <w:bookmarkEnd w:id="15"/>
    </w:p>
    <w:p w14:paraId="579024FD" w14:textId="77777777" w:rsidR="001E4DF4" w:rsidRDefault="00413E94">
      <w:pPr>
        <w:spacing w:after="140" w:line="276" w:lineRule="auto"/>
      </w:pPr>
      <w:r>
        <w:t>At NURO, the following are absolute and without exception:</w:t>
      </w:r>
    </w:p>
    <w:p w14:paraId="4FE7DB6C" w14:textId="77777777" w:rsidR="001E4DF4" w:rsidRDefault="00413E94">
      <w:pPr>
        <w:spacing w:after="60" w:line="260" w:lineRule="auto"/>
        <w:ind w:left="200"/>
      </w:pPr>
      <w:r>
        <w:rPr>
          <w:b/>
          <w:bCs/>
          <w:color w:val="A8842F"/>
        </w:rPr>
        <w:t>✓</w:t>
      </w:r>
      <w:r>
        <w:rPr>
          <w:b/>
          <w:bCs/>
          <w:color w:val="A8842F"/>
        </w:rPr>
        <w:t xml:space="preserve">  </w:t>
      </w:r>
      <w:r>
        <w:rPr>
          <w:sz w:val="20"/>
          <w:szCs w:val="20"/>
        </w:rPr>
        <w:t>AI does not replace human judgment. Judgment remains human.</w:t>
      </w:r>
    </w:p>
    <w:p w14:paraId="0CD98C17" w14:textId="77777777" w:rsidR="001E4DF4" w:rsidRDefault="00413E94">
      <w:pPr>
        <w:spacing w:after="60" w:line="260" w:lineRule="auto"/>
        <w:ind w:left="200"/>
      </w:pPr>
      <w:r>
        <w:rPr>
          <w:b/>
          <w:bCs/>
          <w:color w:val="A8842F"/>
        </w:rPr>
        <w:t>✓</w:t>
      </w:r>
      <w:r>
        <w:rPr>
          <w:b/>
          <w:bCs/>
          <w:color w:val="A8842F"/>
        </w:rPr>
        <w:t xml:space="preserve">  </w:t>
      </w:r>
      <w:r>
        <w:rPr>
          <w:sz w:val="20"/>
          <w:szCs w:val="20"/>
        </w:rPr>
        <w:t>Every fact, figure, and citation that reaches a client is independently verified.</w:t>
      </w:r>
    </w:p>
    <w:p w14:paraId="10DFF745" w14:textId="77777777" w:rsidR="001E4DF4" w:rsidRDefault="00413E94">
      <w:pPr>
        <w:spacing w:after="60" w:line="260" w:lineRule="auto"/>
        <w:ind w:left="200"/>
      </w:pPr>
      <w:r>
        <w:rPr>
          <w:b/>
          <w:bCs/>
          <w:color w:val="A8842F"/>
        </w:rPr>
        <w:t>✓</w:t>
      </w:r>
      <w:r>
        <w:rPr>
          <w:b/>
          <w:bCs/>
          <w:color w:val="A8842F"/>
        </w:rPr>
        <w:t xml:space="preserve">  </w:t>
      </w:r>
      <w:r>
        <w:rPr>
          <w:sz w:val="20"/>
          <w:szCs w:val="20"/>
        </w:rPr>
        <w:t>Every agent in production is bounded, owned, logged, and reversible.</w:t>
      </w:r>
    </w:p>
    <w:p w14:paraId="7B1DCC48" w14:textId="77777777" w:rsidR="001E4DF4" w:rsidRDefault="00413E94">
      <w:pPr>
        <w:spacing w:after="60" w:line="260" w:lineRule="auto"/>
        <w:ind w:left="200"/>
      </w:pPr>
      <w:r>
        <w:rPr>
          <w:b/>
          <w:bCs/>
          <w:color w:val="A8842F"/>
        </w:rPr>
        <w:t>✓</w:t>
      </w:r>
      <w:r>
        <w:rPr>
          <w:b/>
          <w:bCs/>
          <w:color w:val="A8842F"/>
        </w:rPr>
        <w:t xml:space="preserve">  </w:t>
      </w:r>
      <w:r>
        <w:rPr>
          <w:sz w:val="20"/>
          <w:szCs w:val="20"/>
        </w:rPr>
        <w:t>NURO accepts full responsibility for everything it ships and everything it deploys.</w:t>
      </w:r>
    </w:p>
    <w:p w14:paraId="4132EB87" w14:textId="77777777" w:rsidR="001E4DF4" w:rsidRDefault="00413E94">
      <w:pPr>
        <w:spacing w:after="60" w:line="260" w:lineRule="auto"/>
        <w:ind w:left="200"/>
      </w:pPr>
      <w:r>
        <w:rPr>
          <w:b/>
          <w:bCs/>
          <w:color w:val="A8842F"/>
        </w:rPr>
        <w:t>✓</w:t>
      </w:r>
      <w:r>
        <w:rPr>
          <w:b/>
          <w:bCs/>
          <w:color w:val="A8842F"/>
        </w:rPr>
        <w:t xml:space="preserve">  </w:t>
      </w:r>
      <w:r>
        <w:rPr>
          <w:sz w:val="20"/>
          <w:szCs w:val="20"/>
        </w:rPr>
        <w:t>The HI Step is never optional, never delegable to the machine, and never waived for speed.</w:t>
      </w:r>
    </w:p>
    <w:p w14:paraId="5982802B" w14:textId="77777777" w:rsidR="001E4DF4" w:rsidRDefault="001E4DF4">
      <w:pPr>
        <w:spacing w:after="60"/>
      </w:pPr>
    </w:p>
    <w:p w14:paraId="7E7BE18F" w14:textId="77777777" w:rsidR="001E4DF4" w:rsidRDefault="00413E94">
      <w:pPr>
        <w:spacing w:before="120"/>
        <w:jc w:val="center"/>
      </w:pPr>
      <w:r>
        <w:rPr>
          <w:b/>
          <w:bCs/>
          <w:color w:val="A8842F"/>
          <w:sz w:val="22"/>
          <w:szCs w:val="22"/>
        </w:rPr>
        <w:t>HI → AI = I</w:t>
      </w:r>
      <w:r>
        <w:rPr>
          <w:b/>
          <w:bCs/>
          <w:color w:val="A8842F"/>
          <w:sz w:val="14"/>
          <w:szCs w:val="14"/>
          <w:vertAlign w:val="superscript"/>
        </w:rPr>
        <w:t>E</w:t>
      </w:r>
      <w:r>
        <w:rPr>
          <w:color w:val="1E1E1E"/>
          <w:sz w:val="20"/>
          <w:szCs w:val="20"/>
        </w:rPr>
        <w:t xml:space="preserve">   ·   Humans are the Source. Machines are the Force.   ·   NURO.is</w:t>
      </w:r>
    </w:p>
    <w:p w14:paraId="71893963" w14:textId="77777777" w:rsidR="001E4DF4" w:rsidRDefault="001E4DF4">
      <w:pPr>
        <w:pageBreakBefore/>
      </w:pPr>
    </w:p>
    <w:p w14:paraId="386B7058" w14:textId="77777777" w:rsidR="001E4DF4" w:rsidRDefault="00413E94">
      <w:pPr>
        <w:pStyle w:val="Heading1"/>
        <w:pBdr>
          <w:bottom w:val="single" w:sz="14" w:space="6" w:color="D4A84B"/>
        </w:pBdr>
      </w:pPr>
      <w:r>
        <w:rPr>
          <w:color w:val="A8842F"/>
        </w:rPr>
        <w:t xml:space="preserve">  </w:t>
      </w:r>
      <w:bookmarkStart w:id="16" w:name="_Toc232761872"/>
      <w:r>
        <w:t>Acknowledgment &amp; Agreement</w:t>
      </w:r>
      <w:bookmarkEnd w:id="16"/>
    </w:p>
    <w:p w14:paraId="386864D1" w14:textId="780F0380" w:rsidR="001E4DF4" w:rsidRDefault="00413E94" w:rsidP="005E7114">
      <w:pPr>
        <w:spacing w:after="140" w:line="276" w:lineRule="auto"/>
      </w:pPr>
      <w:r>
        <w:t xml:space="preserve">I have read, understand, and agree to comply with the NURO.is Artificial Intelligence Compliance &amp; Governance Policy. I understand that responsibility for AI-assisted work is personal and non-delegable, and that violation may result in disciplinary action up to and including termination of employment or </w:t>
      </w:r>
      <w:r w:rsidR="005E7114">
        <w:t>contract and</w:t>
      </w:r>
      <w:r>
        <w:t xml:space="preserve"> may carry personal and contractual liability. I acknowledge that NURO may amend this Policy at any time at its sole discretion, that amendments apply to ongoing and future work, and that my continued work after an amendment constitutes acceptance of the then-current version.</w:t>
      </w:r>
    </w:p>
    <w:sectPr w:rsidR="001E4DF4">
      <w:headerReference w:type="default" r:id="rId7"/>
      <w:footerReference w:type="default" r:id="rId8"/>
      <w:pgSz w:w="12240" w:h="15840"/>
      <w:pgMar w:top="1280" w:right="1440" w:bottom="11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A1C472A" w14:textId="77777777" w:rsidR="00413E94" w:rsidRDefault="00413E94">
      <w:r>
        <w:separator/>
      </w:r>
    </w:p>
  </w:endnote>
  <w:endnote w:type="continuationSeparator" w:id="0">
    <w:p w14:paraId="2DC39310" w14:textId="77777777" w:rsidR="00413E94" w:rsidRDefault="0041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68B204" w14:textId="2C9A3934" w:rsidR="001E4DF4" w:rsidRDefault="00413E94">
    <w:pPr>
      <w:pBdr>
        <w:top w:val="single" w:sz="6" w:space="4" w:color="D4A84B"/>
      </w:pBdr>
      <w:tabs>
        <w:tab w:val="right" w:pos="9360"/>
      </w:tabs>
    </w:pPr>
    <w:r>
      <w:rPr>
        <w:color w:val="777067"/>
        <w:sz w:val="15"/>
        <w:szCs w:val="15"/>
      </w:rPr>
      <w:t>Version 1.0</w:t>
    </w:r>
    <w:r w:rsidR="007A68A9">
      <w:rPr>
        <w:color w:val="777067"/>
        <w:sz w:val="15"/>
        <w:szCs w:val="15"/>
      </w:rPr>
      <w:t xml:space="preserve"> - </w:t>
    </w:r>
    <w:r>
      <w:rPr>
        <w:color w:val="777067"/>
        <w:sz w:val="15"/>
        <w:szCs w:val="15"/>
      </w:rPr>
      <w:t xml:space="preserve">Final · Effective June 19, </w:t>
    </w:r>
    <w:proofErr w:type="gramStart"/>
    <w:r>
      <w:rPr>
        <w:color w:val="777067"/>
        <w:sz w:val="15"/>
        <w:szCs w:val="15"/>
      </w:rPr>
      <w:t>2026</w:t>
    </w:r>
    <w:proofErr w:type="gramEnd"/>
    <w:r>
      <w:rPr>
        <w:color w:val="777067"/>
        <w:sz w:val="15"/>
        <w:szCs w:val="15"/>
      </w:rPr>
      <w:tab/>
      <w:t xml:space="preserve">Page </w:t>
    </w:r>
    <w:r>
      <w:rPr>
        <w:color w:val="777067"/>
        <w:sz w:val="15"/>
        <w:szCs w:val="15"/>
      </w:rPr>
      <w:fldChar w:fldCharType="begin"/>
    </w:r>
    <w:r>
      <w:rPr>
        <w:color w:val="777067"/>
        <w:sz w:val="15"/>
        <w:szCs w:val="15"/>
      </w:rPr>
      <w:instrText>PAGE</w:instrText>
    </w:r>
    <w:r>
      <w:rPr>
        <w:color w:val="777067"/>
        <w:sz w:val="15"/>
        <w:szCs w:val="15"/>
      </w:rPr>
      <w:fldChar w:fldCharType="separate"/>
    </w:r>
    <w:r w:rsidR="009001C6">
      <w:rPr>
        <w:noProof/>
        <w:color w:val="777067"/>
        <w:sz w:val="15"/>
        <w:szCs w:val="15"/>
      </w:rPr>
      <w:t>2</w:t>
    </w:r>
    <w:r>
      <w:rPr>
        <w:color w:val="777067"/>
        <w:sz w:val="15"/>
        <w:szCs w:val="15"/>
      </w:rPr>
      <w:fldChar w:fldCharType="end"/>
    </w:r>
    <w:r>
      <w:rPr>
        <w:color w:val="777067"/>
        <w:sz w:val="15"/>
        <w:szCs w:val="15"/>
      </w:rPr>
      <w:t xml:space="preserve"> of </w:t>
    </w:r>
    <w:r>
      <w:rPr>
        <w:color w:val="777067"/>
        <w:sz w:val="15"/>
        <w:szCs w:val="15"/>
      </w:rPr>
      <w:fldChar w:fldCharType="begin"/>
    </w:r>
    <w:r>
      <w:rPr>
        <w:color w:val="777067"/>
        <w:sz w:val="15"/>
        <w:szCs w:val="15"/>
      </w:rPr>
      <w:instrText>NUMPAGES</w:instrText>
    </w:r>
    <w:r>
      <w:rPr>
        <w:color w:val="777067"/>
        <w:sz w:val="15"/>
        <w:szCs w:val="15"/>
      </w:rPr>
      <w:fldChar w:fldCharType="separate"/>
    </w:r>
    <w:r w:rsidR="009001C6">
      <w:rPr>
        <w:noProof/>
        <w:color w:val="777067"/>
        <w:sz w:val="15"/>
        <w:szCs w:val="15"/>
      </w:rPr>
      <w:t>1</w:t>
    </w:r>
    <w:r>
      <w:rPr>
        <w:color w:val="777067"/>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BB7F27E" w14:textId="77777777" w:rsidR="00413E94" w:rsidRDefault="00413E94">
      <w:r>
        <w:separator/>
      </w:r>
    </w:p>
  </w:footnote>
  <w:footnote w:type="continuationSeparator" w:id="0">
    <w:p w14:paraId="1C27F6E7" w14:textId="77777777" w:rsidR="00413E94" w:rsidRDefault="0041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16A2E4F" w14:textId="77777777" w:rsidR="001E4DF4" w:rsidRDefault="00413E94">
    <w:pPr>
      <w:pBdr>
        <w:bottom w:val="single" w:sz="6" w:space="4" w:color="D4A84B"/>
      </w:pBdr>
      <w:tabs>
        <w:tab w:val="right" w:pos="9360"/>
      </w:tabs>
    </w:pPr>
    <w:r>
      <w:rPr>
        <w:b/>
        <w:bCs/>
        <w:color w:val="1E1E1E"/>
        <w:sz w:val="16"/>
        <w:szCs w:val="16"/>
      </w:rPr>
      <w:t>NURO.is</w:t>
    </w:r>
    <w:r>
      <w:rPr>
        <w:color w:val="A8842F"/>
        <w:sz w:val="16"/>
        <w:szCs w:val="16"/>
      </w:rPr>
      <w:t xml:space="preserve">  ·  AI Compliance &amp; Governance Policy</w:t>
    </w:r>
    <w:r>
      <w:rPr>
        <w:color w:val="8A8378"/>
        <w:sz w:val="14"/>
        <w:szCs w:val="14"/>
      </w:rPr>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7F003D"/>
    <w:multiLevelType w:val="hybridMultilevel"/>
    <w:tmpl w:val="C3BE01DA"/>
    <w:lvl w:ilvl="0" w:tplc="7D70B740">
      <w:start w:val="1"/>
      <w:numFmt w:val="bullet"/>
      <w:lvlText w:val="●"/>
      <w:lvlJc w:val="left"/>
      <w:pPr>
        <w:ind w:left="720" w:hanging="360"/>
      </w:pPr>
    </w:lvl>
    <w:lvl w:ilvl="1" w:tplc="881C302A">
      <w:start w:val="1"/>
      <w:numFmt w:val="bullet"/>
      <w:lvlText w:val="○"/>
      <w:lvlJc w:val="left"/>
      <w:pPr>
        <w:ind w:left="1440" w:hanging="360"/>
      </w:pPr>
    </w:lvl>
    <w:lvl w:ilvl="2" w:tplc="2996CDB4">
      <w:start w:val="1"/>
      <w:numFmt w:val="bullet"/>
      <w:lvlText w:val="■"/>
      <w:lvlJc w:val="left"/>
      <w:pPr>
        <w:ind w:left="2160" w:hanging="360"/>
      </w:pPr>
    </w:lvl>
    <w:lvl w:ilvl="3" w:tplc="076AC0B0">
      <w:start w:val="1"/>
      <w:numFmt w:val="bullet"/>
      <w:lvlText w:val="●"/>
      <w:lvlJc w:val="left"/>
      <w:pPr>
        <w:ind w:left="2880" w:hanging="360"/>
      </w:pPr>
    </w:lvl>
    <w:lvl w:ilvl="4" w:tplc="DB90B5D2">
      <w:start w:val="1"/>
      <w:numFmt w:val="bullet"/>
      <w:lvlText w:val="○"/>
      <w:lvlJc w:val="left"/>
      <w:pPr>
        <w:ind w:left="3600" w:hanging="360"/>
      </w:pPr>
    </w:lvl>
    <w:lvl w:ilvl="5" w:tplc="B6348E0A">
      <w:start w:val="1"/>
      <w:numFmt w:val="bullet"/>
      <w:lvlText w:val="■"/>
      <w:lvlJc w:val="left"/>
      <w:pPr>
        <w:ind w:left="4320" w:hanging="360"/>
      </w:pPr>
    </w:lvl>
    <w:lvl w:ilvl="6" w:tplc="80EA0032">
      <w:start w:val="1"/>
      <w:numFmt w:val="bullet"/>
      <w:lvlText w:val="●"/>
      <w:lvlJc w:val="left"/>
      <w:pPr>
        <w:ind w:left="5040" w:hanging="360"/>
      </w:pPr>
    </w:lvl>
    <w:lvl w:ilvl="7" w:tplc="C5CA926A">
      <w:start w:val="1"/>
      <w:numFmt w:val="bullet"/>
      <w:lvlText w:val="●"/>
      <w:lvlJc w:val="left"/>
      <w:pPr>
        <w:ind w:left="5760" w:hanging="360"/>
      </w:pPr>
    </w:lvl>
    <w:lvl w:ilvl="8" w:tplc="57BC3F3E">
      <w:start w:val="1"/>
      <w:numFmt w:val="bullet"/>
      <w:lvlText w:val="●"/>
      <w:lvlJc w:val="left"/>
      <w:pPr>
        <w:ind w:left="6480" w:hanging="360"/>
      </w:pPr>
    </w:lvl>
  </w:abstractNum>
  <w:abstractNum w:abstractNumId="1" w15:restartNumberingAfterBreak="0">
    <w:nsid w:val="34387E40"/>
    <w:multiLevelType w:val="hybridMultilevel"/>
    <w:tmpl w:val="3E8C0E8A"/>
    <w:lvl w:ilvl="0" w:tplc="218C59C2">
      <w:start w:val="1"/>
      <w:numFmt w:val="decimal"/>
      <w:lvlText w:val="%1."/>
      <w:lvlJc w:val="left"/>
      <w:pPr>
        <w:ind w:left="460" w:hanging="280"/>
      </w:pPr>
      <w:rPr>
        <w:b/>
        <w:bCs/>
        <w:color w:val="A8842F"/>
      </w:rPr>
    </w:lvl>
    <w:lvl w:ilvl="1" w:tplc="00DC5086">
      <w:numFmt w:val="decimal"/>
      <w:lvlText w:val=""/>
      <w:lvlJc w:val="left"/>
    </w:lvl>
    <w:lvl w:ilvl="2" w:tplc="82269396">
      <w:numFmt w:val="decimal"/>
      <w:lvlText w:val=""/>
      <w:lvlJc w:val="left"/>
    </w:lvl>
    <w:lvl w:ilvl="3" w:tplc="72803BBC">
      <w:numFmt w:val="decimal"/>
      <w:lvlText w:val=""/>
      <w:lvlJc w:val="left"/>
    </w:lvl>
    <w:lvl w:ilvl="4" w:tplc="25E2D480">
      <w:numFmt w:val="decimal"/>
      <w:lvlText w:val=""/>
      <w:lvlJc w:val="left"/>
    </w:lvl>
    <w:lvl w:ilvl="5" w:tplc="CB9CA506">
      <w:numFmt w:val="decimal"/>
      <w:lvlText w:val=""/>
      <w:lvlJc w:val="left"/>
    </w:lvl>
    <w:lvl w:ilvl="6" w:tplc="79F06906">
      <w:numFmt w:val="decimal"/>
      <w:lvlText w:val=""/>
      <w:lvlJc w:val="left"/>
    </w:lvl>
    <w:lvl w:ilvl="7" w:tplc="7B1A22D0">
      <w:numFmt w:val="decimal"/>
      <w:lvlText w:val=""/>
      <w:lvlJc w:val="left"/>
    </w:lvl>
    <w:lvl w:ilvl="8" w:tplc="C8026770">
      <w:numFmt w:val="decimal"/>
      <w:lvlText w:val=""/>
      <w:lvlJc w:val="left"/>
    </w:lvl>
  </w:abstractNum>
  <w:abstractNum w:abstractNumId="2" w15:restartNumberingAfterBreak="0">
    <w:nsid w:val="4BD32BF6"/>
    <w:multiLevelType w:val="hybridMultilevel"/>
    <w:tmpl w:val="6DA49792"/>
    <w:lvl w:ilvl="0" w:tplc="2D56C258">
      <w:start w:val="1"/>
      <w:numFmt w:val="decimal"/>
      <w:lvlText w:val="%1."/>
      <w:lvlJc w:val="left"/>
      <w:pPr>
        <w:ind w:left="460" w:hanging="280"/>
      </w:pPr>
      <w:rPr>
        <w:b/>
        <w:bCs/>
        <w:color w:val="A8842F"/>
      </w:rPr>
    </w:lvl>
    <w:lvl w:ilvl="1" w:tplc="45762710">
      <w:numFmt w:val="decimal"/>
      <w:lvlText w:val=""/>
      <w:lvlJc w:val="left"/>
    </w:lvl>
    <w:lvl w:ilvl="2" w:tplc="FA041920">
      <w:numFmt w:val="decimal"/>
      <w:lvlText w:val=""/>
      <w:lvlJc w:val="left"/>
    </w:lvl>
    <w:lvl w:ilvl="3" w:tplc="6840B5A2">
      <w:numFmt w:val="decimal"/>
      <w:lvlText w:val=""/>
      <w:lvlJc w:val="left"/>
    </w:lvl>
    <w:lvl w:ilvl="4" w:tplc="BAA6FE54">
      <w:numFmt w:val="decimal"/>
      <w:lvlText w:val=""/>
      <w:lvlJc w:val="left"/>
    </w:lvl>
    <w:lvl w:ilvl="5" w:tplc="77C8A0A6">
      <w:numFmt w:val="decimal"/>
      <w:lvlText w:val=""/>
      <w:lvlJc w:val="left"/>
    </w:lvl>
    <w:lvl w:ilvl="6" w:tplc="A6CA0262">
      <w:numFmt w:val="decimal"/>
      <w:lvlText w:val=""/>
      <w:lvlJc w:val="left"/>
    </w:lvl>
    <w:lvl w:ilvl="7" w:tplc="A0DE0720">
      <w:numFmt w:val="decimal"/>
      <w:lvlText w:val=""/>
      <w:lvlJc w:val="left"/>
    </w:lvl>
    <w:lvl w:ilvl="8" w:tplc="CFF8EA7C">
      <w:numFmt w:val="decimal"/>
      <w:lvlText w:val=""/>
      <w:lvlJc w:val="left"/>
    </w:lvl>
  </w:abstractNum>
  <w:abstractNum w:abstractNumId="3" w15:restartNumberingAfterBreak="0">
    <w:nsid w:val="513E6E9B"/>
    <w:multiLevelType w:val="hybridMultilevel"/>
    <w:tmpl w:val="EBB8A168"/>
    <w:lvl w:ilvl="0" w:tplc="86620170">
      <w:start w:val="1"/>
      <w:numFmt w:val="bullet"/>
      <w:lvlText w:val="•"/>
      <w:lvlJc w:val="left"/>
      <w:pPr>
        <w:ind w:left="460" w:hanging="240"/>
      </w:pPr>
      <w:rPr>
        <w:color w:val="A8842F"/>
      </w:rPr>
    </w:lvl>
    <w:lvl w:ilvl="1" w:tplc="9DB245E8">
      <w:start w:val="1"/>
      <w:numFmt w:val="bullet"/>
      <w:lvlText w:val="–"/>
      <w:lvlJc w:val="left"/>
      <w:pPr>
        <w:ind w:left="900" w:hanging="240"/>
      </w:pPr>
    </w:lvl>
    <w:lvl w:ilvl="2" w:tplc="388A4E18">
      <w:numFmt w:val="decimal"/>
      <w:lvlText w:val=""/>
      <w:lvlJc w:val="left"/>
    </w:lvl>
    <w:lvl w:ilvl="3" w:tplc="77E89E5C">
      <w:numFmt w:val="decimal"/>
      <w:lvlText w:val=""/>
      <w:lvlJc w:val="left"/>
    </w:lvl>
    <w:lvl w:ilvl="4" w:tplc="BEFA1E70">
      <w:numFmt w:val="decimal"/>
      <w:lvlText w:val=""/>
      <w:lvlJc w:val="left"/>
    </w:lvl>
    <w:lvl w:ilvl="5" w:tplc="F20A32D0">
      <w:numFmt w:val="decimal"/>
      <w:lvlText w:val=""/>
      <w:lvlJc w:val="left"/>
    </w:lvl>
    <w:lvl w:ilvl="6" w:tplc="A9ACA2CE">
      <w:numFmt w:val="decimal"/>
      <w:lvlText w:val=""/>
      <w:lvlJc w:val="left"/>
    </w:lvl>
    <w:lvl w:ilvl="7" w:tplc="6980CC7A">
      <w:numFmt w:val="decimal"/>
      <w:lvlText w:val=""/>
      <w:lvlJc w:val="left"/>
    </w:lvl>
    <w:lvl w:ilvl="8" w:tplc="0930F76C">
      <w:numFmt w:val="decimal"/>
      <w:lvlText w:val=""/>
      <w:lvlJc w:val="left"/>
    </w:lvl>
  </w:abstractNum>
  <w:num w:numId="1" w16cid:durableId="1130855524">
    <w:abstractNumId w:val="0"/>
    <w:lvlOverride w:ilvl="0">
      <w:startOverride w:val="1"/>
    </w:lvlOverride>
  </w:num>
  <w:num w:numId="2" w16cid:durableId="1357120187">
    <w:abstractNumId w:val="3"/>
    <w:lvlOverride w:ilvl="0">
      <w:startOverride w:val="1"/>
    </w:lvlOverride>
  </w:num>
  <w:num w:numId="3" w16cid:durableId="2014184507">
    <w:abstractNumId w:val="1"/>
    <w:lvlOverride w:ilvl="0">
      <w:startOverride w:val="1"/>
    </w:lvlOverride>
  </w:num>
  <w:num w:numId="4" w16cid:durableId="516190720">
    <w:abstractNumId w:val="2"/>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DF4"/>
    <w:rsid w:val="001E4DF4"/>
    <w:rsid w:val="00410E64"/>
    <w:rsid w:val="00413E94"/>
    <w:rsid w:val="005E7114"/>
    <w:rsid w:val="007A68A9"/>
    <w:rsid w:val="009001C6"/>
    <w:rsid w:val="00ED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0CF5"/>
  <w15:docId w15:val="{83588725-3562-CB43-B360-C565F60F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1C1B19"/>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20" w:after="160"/>
      <w:outlineLvl w:val="0"/>
    </w:pPr>
    <w:rPr>
      <w:b/>
      <w:bCs/>
      <w:color w:val="1E1E1E"/>
      <w:sz w:val="26"/>
      <w:szCs w:val="26"/>
    </w:rPr>
  </w:style>
  <w:style w:type="paragraph" w:styleId="Heading2">
    <w:name w:val="heading 2"/>
    <w:uiPriority w:val="9"/>
    <w:unhideWhenUsed/>
    <w:qFormat/>
    <w:pPr>
      <w:keepNext/>
      <w:spacing w:before="200" w:after="100"/>
      <w:outlineLvl w:val="1"/>
    </w:pPr>
    <w:rPr>
      <w:b/>
      <w:bCs/>
      <w:color w:val="A8842F"/>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9001C6"/>
    <w:pPr>
      <w:spacing w:after="100"/>
    </w:pPr>
  </w:style>
  <w:style w:type="paragraph" w:styleId="Revision">
    <w:name w:val="Revision"/>
    <w:hidden/>
    <w:uiPriority w:val="99"/>
    <w:semiHidden/>
    <w:rsid w:val="005E7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4770</Words>
  <Characters>27191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NURO.is AI Compliance &amp; Governance Policy</vt:lpstr>
    </vt:vector>
  </TitlesOfParts>
  <Company>Economic Recovery Center, LLC</Company>
  <LinksUpToDate>false</LinksUpToDate>
  <CharactersWithSpaces>31898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NURO.is AI Compliance &amp; Governance Policy</dc:title>
  <dc:creator>NURO.is</dc:creator>
  <dc:description>Artificial Intelligence Compliance &amp; Governance Policy</dc:description>
  <cp:lastModifiedBy>Un-named</cp:lastModifiedBy>
  <cp:revision>1</cp:revision>
  <dcterms:created xsi:type="dcterms:W3CDTF">2026-06-19T15:10:00Z</dcterms:created>
  <dcterms:modified xsi:type="dcterms:W3CDTF">2026-06-19T15:10:00Z</dcterms:modified>
</cp:coreProperties>
</file>